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E4" w:rsidRPr="0048219E" w:rsidRDefault="008755E4" w:rsidP="004666B7"/>
    <w:p w:rsidR="008755E4" w:rsidRPr="0048219E" w:rsidRDefault="00947663" w:rsidP="004666B7">
      <w:pPr>
        <w:pStyle w:val="Title"/>
      </w:pPr>
      <w:r w:rsidRPr="00947663">
        <w:t xml:space="preserve">Mining for synergies: </w:t>
      </w:r>
      <w:r w:rsidR="00CA6415">
        <w:t xml:space="preserve">Strategies for global mining companies </w:t>
      </w:r>
    </w:p>
    <w:p w:rsidR="008755E4" w:rsidRPr="0048219E" w:rsidRDefault="008755E4" w:rsidP="004666B7"/>
    <w:p w:rsidR="008755E4" w:rsidRPr="0048219E" w:rsidRDefault="008755E4" w:rsidP="004666B7"/>
    <w:p w:rsidR="008755E4" w:rsidRPr="0048219E" w:rsidRDefault="008755E4" w:rsidP="004666B7"/>
    <w:p w:rsidR="008755E4" w:rsidRPr="0048219E" w:rsidRDefault="008755E4" w:rsidP="004666B7"/>
    <w:p w:rsidR="00AA2252" w:rsidRPr="0048219E" w:rsidRDefault="00AA2252" w:rsidP="004666B7"/>
    <w:p w:rsidR="00AA2252" w:rsidRPr="0048219E" w:rsidRDefault="00AA2252" w:rsidP="004666B7"/>
    <w:p w:rsidR="008755E4" w:rsidRPr="0048219E" w:rsidRDefault="008755E4" w:rsidP="004666B7"/>
    <w:p w:rsidR="008755E4" w:rsidRPr="007F31E4" w:rsidRDefault="008755E4" w:rsidP="00D354DE">
      <w:pPr>
        <w:jc w:val="center"/>
        <w:rPr>
          <w:rStyle w:val="IntenseEmphasis"/>
        </w:rPr>
      </w:pPr>
      <w:r w:rsidRPr="007F31E4">
        <w:rPr>
          <w:rStyle w:val="IntenseEmphasis"/>
        </w:rPr>
        <w:t>Table of contents</w:t>
      </w:r>
    </w:p>
    <w:p w:rsidR="008755E4" w:rsidRPr="0048219E" w:rsidRDefault="008755E4" w:rsidP="004666B7"/>
    <w:p w:rsidR="007C1473" w:rsidRDefault="00B55137">
      <w:pPr>
        <w:pStyle w:val="TOC1"/>
        <w:tabs>
          <w:tab w:val="right" w:leader="dot" w:pos="9017"/>
        </w:tabs>
        <w:rPr>
          <w:rFonts w:asciiTheme="minorHAnsi" w:eastAsiaTheme="minorEastAsia" w:hAnsiTheme="minorHAnsi" w:cstheme="minorBidi"/>
          <w:noProof/>
          <w:sz w:val="22"/>
          <w:szCs w:val="22"/>
          <w:lang w:val="en-US"/>
        </w:rPr>
      </w:pPr>
      <w:r w:rsidRPr="00B55137">
        <w:fldChar w:fldCharType="begin"/>
      </w:r>
      <w:r w:rsidR="007F31E4" w:rsidRPr="00FB0B82">
        <w:instrText xml:space="preserve"> TOC \o "1-2" \h \z \u </w:instrText>
      </w:r>
      <w:r w:rsidRPr="00B55137">
        <w:fldChar w:fldCharType="separate"/>
      </w:r>
      <w:hyperlink w:anchor="_Toc320481422" w:history="1">
        <w:r w:rsidR="007C1473" w:rsidRPr="00220534">
          <w:rPr>
            <w:rStyle w:val="Hyperlink"/>
            <w:noProof/>
          </w:rPr>
          <w:t>Executive summary</w:t>
        </w:r>
        <w:r w:rsidR="007C1473">
          <w:rPr>
            <w:noProof/>
            <w:webHidden/>
          </w:rPr>
          <w:tab/>
        </w:r>
        <w:r>
          <w:rPr>
            <w:noProof/>
            <w:webHidden/>
          </w:rPr>
          <w:fldChar w:fldCharType="begin"/>
        </w:r>
        <w:r w:rsidR="007C1473">
          <w:rPr>
            <w:noProof/>
            <w:webHidden/>
          </w:rPr>
          <w:instrText xml:space="preserve"> PAGEREF _Toc320481422 \h </w:instrText>
        </w:r>
        <w:r>
          <w:rPr>
            <w:noProof/>
            <w:webHidden/>
          </w:rPr>
        </w:r>
        <w:r>
          <w:rPr>
            <w:noProof/>
            <w:webHidden/>
          </w:rPr>
          <w:fldChar w:fldCharType="separate"/>
        </w:r>
        <w:r w:rsidR="007C1473">
          <w:rPr>
            <w:noProof/>
            <w:webHidden/>
          </w:rPr>
          <w:t>2</w:t>
        </w:r>
        <w:r>
          <w:rPr>
            <w:noProof/>
            <w:webHidden/>
          </w:rPr>
          <w:fldChar w:fldCharType="end"/>
        </w:r>
      </w:hyperlink>
    </w:p>
    <w:p w:rsidR="007C1473" w:rsidRDefault="00B55137">
      <w:pPr>
        <w:pStyle w:val="TOC1"/>
        <w:tabs>
          <w:tab w:val="right" w:leader="dot" w:pos="9017"/>
        </w:tabs>
        <w:rPr>
          <w:rFonts w:asciiTheme="minorHAnsi" w:eastAsiaTheme="minorEastAsia" w:hAnsiTheme="minorHAnsi" w:cstheme="minorBidi"/>
          <w:noProof/>
          <w:sz w:val="22"/>
          <w:szCs w:val="22"/>
          <w:lang w:val="en-US"/>
        </w:rPr>
      </w:pPr>
      <w:hyperlink w:anchor="_Toc320481423" w:history="1">
        <w:r w:rsidR="007C1473" w:rsidRPr="00220534">
          <w:rPr>
            <w:rStyle w:val="Hyperlink"/>
            <w:noProof/>
          </w:rPr>
          <w:t>Introduction</w:t>
        </w:r>
        <w:r w:rsidR="007C1473">
          <w:rPr>
            <w:noProof/>
            <w:webHidden/>
          </w:rPr>
          <w:tab/>
        </w:r>
        <w:r>
          <w:rPr>
            <w:noProof/>
            <w:webHidden/>
          </w:rPr>
          <w:fldChar w:fldCharType="begin"/>
        </w:r>
        <w:r w:rsidR="007C1473">
          <w:rPr>
            <w:noProof/>
            <w:webHidden/>
          </w:rPr>
          <w:instrText xml:space="preserve"> PAGEREF _Toc320481423 \h </w:instrText>
        </w:r>
        <w:r>
          <w:rPr>
            <w:noProof/>
            <w:webHidden/>
          </w:rPr>
        </w:r>
        <w:r>
          <w:rPr>
            <w:noProof/>
            <w:webHidden/>
          </w:rPr>
          <w:fldChar w:fldCharType="separate"/>
        </w:r>
        <w:r w:rsidR="007C1473">
          <w:rPr>
            <w:noProof/>
            <w:webHidden/>
          </w:rPr>
          <w:t>3</w:t>
        </w:r>
        <w:r>
          <w:rPr>
            <w:noProof/>
            <w:webHidden/>
          </w:rPr>
          <w:fldChar w:fldCharType="end"/>
        </w:r>
      </w:hyperlink>
    </w:p>
    <w:p w:rsidR="007C1473" w:rsidRDefault="00B55137">
      <w:pPr>
        <w:pStyle w:val="TOC2"/>
        <w:tabs>
          <w:tab w:val="right" w:leader="dot" w:pos="9017"/>
        </w:tabs>
        <w:rPr>
          <w:rFonts w:asciiTheme="minorHAnsi" w:eastAsiaTheme="minorEastAsia" w:hAnsiTheme="minorHAnsi" w:cstheme="minorBidi"/>
          <w:noProof/>
          <w:sz w:val="22"/>
          <w:szCs w:val="22"/>
          <w:lang w:val="en-US"/>
        </w:rPr>
      </w:pPr>
      <w:hyperlink w:anchor="_Toc320481424" w:history="1">
        <w:r w:rsidR="007C1473" w:rsidRPr="00220534">
          <w:rPr>
            <w:rStyle w:val="Hyperlink"/>
            <w:rFonts w:eastAsiaTheme="majorEastAsia"/>
            <w:noProof/>
          </w:rPr>
          <w:t>Analyzing the leading companies</w:t>
        </w:r>
        <w:r w:rsidR="007C1473">
          <w:rPr>
            <w:noProof/>
            <w:webHidden/>
          </w:rPr>
          <w:tab/>
        </w:r>
        <w:r>
          <w:rPr>
            <w:noProof/>
            <w:webHidden/>
          </w:rPr>
          <w:fldChar w:fldCharType="begin"/>
        </w:r>
        <w:r w:rsidR="007C1473">
          <w:rPr>
            <w:noProof/>
            <w:webHidden/>
          </w:rPr>
          <w:instrText xml:space="preserve"> PAGEREF _Toc320481424 \h </w:instrText>
        </w:r>
        <w:r>
          <w:rPr>
            <w:noProof/>
            <w:webHidden/>
          </w:rPr>
        </w:r>
        <w:r>
          <w:rPr>
            <w:noProof/>
            <w:webHidden/>
          </w:rPr>
          <w:fldChar w:fldCharType="separate"/>
        </w:r>
        <w:r w:rsidR="007C1473">
          <w:rPr>
            <w:noProof/>
            <w:webHidden/>
          </w:rPr>
          <w:t>5</w:t>
        </w:r>
        <w:r>
          <w:rPr>
            <w:noProof/>
            <w:webHidden/>
          </w:rPr>
          <w:fldChar w:fldCharType="end"/>
        </w:r>
      </w:hyperlink>
    </w:p>
    <w:p w:rsidR="007C1473" w:rsidRDefault="00B55137">
      <w:pPr>
        <w:pStyle w:val="TOC2"/>
        <w:tabs>
          <w:tab w:val="right" w:leader="dot" w:pos="9017"/>
        </w:tabs>
        <w:rPr>
          <w:rFonts w:asciiTheme="minorHAnsi" w:eastAsiaTheme="minorEastAsia" w:hAnsiTheme="minorHAnsi" w:cstheme="minorBidi"/>
          <w:noProof/>
          <w:sz w:val="22"/>
          <w:szCs w:val="22"/>
          <w:lang w:val="en-US"/>
        </w:rPr>
      </w:pPr>
      <w:hyperlink w:anchor="_Toc320481425" w:history="1">
        <w:r w:rsidR="007C1473" w:rsidRPr="00220534">
          <w:rPr>
            <w:rStyle w:val="Hyperlink"/>
            <w:noProof/>
          </w:rPr>
          <w:t>Strategies to excel</w:t>
        </w:r>
        <w:r w:rsidR="007C1473">
          <w:rPr>
            <w:noProof/>
            <w:webHidden/>
          </w:rPr>
          <w:tab/>
        </w:r>
        <w:r>
          <w:rPr>
            <w:noProof/>
            <w:webHidden/>
          </w:rPr>
          <w:fldChar w:fldCharType="begin"/>
        </w:r>
        <w:r w:rsidR="007C1473">
          <w:rPr>
            <w:noProof/>
            <w:webHidden/>
          </w:rPr>
          <w:instrText xml:space="preserve"> PAGEREF _Toc320481425 \h </w:instrText>
        </w:r>
        <w:r>
          <w:rPr>
            <w:noProof/>
            <w:webHidden/>
          </w:rPr>
        </w:r>
        <w:r>
          <w:rPr>
            <w:noProof/>
            <w:webHidden/>
          </w:rPr>
          <w:fldChar w:fldCharType="separate"/>
        </w:r>
        <w:r w:rsidR="007C1473">
          <w:rPr>
            <w:noProof/>
            <w:webHidden/>
          </w:rPr>
          <w:t>6</w:t>
        </w:r>
        <w:r>
          <w:rPr>
            <w:noProof/>
            <w:webHidden/>
          </w:rPr>
          <w:fldChar w:fldCharType="end"/>
        </w:r>
      </w:hyperlink>
    </w:p>
    <w:p w:rsidR="007C1473" w:rsidRDefault="00B55137">
      <w:pPr>
        <w:pStyle w:val="TOC2"/>
        <w:tabs>
          <w:tab w:val="right" w:leader="dot" w:pos="9017"/>
        </w:tabs>
        <w:rPr>
          <w:rFonts w:asciiTheme="minorHAnsi" w:eastAsiaTheme="minorEastAsia" w:hAnsiTheme="minorHAnsi" w:cstheme="minorBidi"/>
          <w:noProof/>
          <w:sz w:val="22"/>
          <w:szCs w:val="22"/>
          <w:lang w:val="en-US"/>
        </w:rPr>
      </w:pPr>
      <w:hyperlink w:anchor="_Toc320481426" w:history="1">
        <w:r w:rsidR="007C1473" w:rsidRPr="00220534">
          <w:rPr>
            <w:rStyle w:val="Hyperlink"/>
            <w:noProof/>
          </w:rPr>
          <w:t>Presence in emerging markets</w:t>
        </w:r>
        <w:r w:rsidR="007C1473">
          <w:rPr>
            <w:noProof/>
            <w:webHidden/>
          </w:rPr>
          <w:tab/>
        </w:r>
        <w:r>
          <w:rPr>
            <w:noProof/>
            <w:webHidden/>
          </w:rPr>
          <w:fldChar w:fldCharType="begin"/>
        </w:r>
        <w:r w:rsidR="007C1473">
          <w:rPr>
            <w:noProof/>
            <w:webHidden/>
          </w:rPr>
          <w:instrText xml:space="preserve"> PAGEREF _Toc320481426 \h </w:instrText>
        </w:r>
        <w:r>
          <w:rPr>
            <w:noProof/>
            <w:webHidden/>
          </w:rPr>
        </w:r>
        <w:r>
          <w:rPr>
            <w:noProof/>
            <w:webHidden/>
          </w:rPr>
          <w:fldChar w:fldCharType="separate"/>
        </w:r>
        <w:r w:rsidR="007C1473">
          <w:rPr>
            <w:noProof/>
            <w:webHidden/>
          </w:rPr>
          <w:t>7</w:t>
        </w:r>
        <w:r>
          <w:rPr>
            <w:noProof/>
            <w:webHidden/>
          </w:rPr>
          <w:fldChar w:fldCharType="end"/>
        </w:r>
      </w:hyperlink>
    </w:p>
    <w:p w:rsidR="007C1473" w:rsidRDefault="00B55137">
      <w:pPr>
        <w:pStyle w:val="TOC2"/>
        <w:tabs>
          <w:tab w:val="right" w:leader="dot" w:pos="9017"/>
        </w:tabs>
        <w:rPr>
          <w:rFonts w:asciiTheme="minorHAnsi" w:eastAsiaTheme="minorEastAsia" w:hAnsiTheme="minorHAnsi" w:cstheme="minorBidi"/>
          <w:noProof/>
          <w:sz w:val="22"/>
          <w:szCs w:val="22"/>
          <w:lang w:val="en-US"/>
        </w:rPr>
      </w:pPr>
      <w:hyperlink w:anchor="_Toc320481427" w:history="1">
        <w:r w:rsidR="007C1473" w:rsidRPr="00220534">
          <w:rPr>
            <w:rStyle w:val="Hyperlink"/>
            <w:noProof/>
          </w:rPr>
          <w:t>Question 1 – Examine the arguments for and against globalization</w:t>
        </w:r>
        <w:r w:rsidR="007C1473">
          <w:rPr>
            <w:noProof/>
            <w:webHidden/>
          </w:rPr>
          <w:tab/>
        </w:r>
        <w:r>
          <w:rPr>
            <w:noProof/>
            <w:webHidden/>
          </w:rPr>
          <w:fldChar w:fldCharType="begin"/>
        </w:r>
        <w:r w:rsidR="007C1473">
          <w:rPr>
            <w:noProof/>
            <w:webHidden/>
          </w:rPr>
          <w:instrText xml:space="preserve"> PAGEREF _Toc320481427 \h </w:instrText>
        </w:r>
        <w:r>
          <w:rPr>
            <w:noProof/>
            <w:webHidden/>
          </w:rPr>
        </w:r>
        <w:r>
          <w:rPr>
            <w:noProof/>
            <w:webHidden/>
          </w:rPr>
          <w:fldChar w:fldCharType="separate"/>
        </w:r>
        <w:r w:rsidR="007C1473">
          <w:rPr>
            <w:noProof/>
            <w:webHidden/>
          </w:rPr>
          <w:t>8</w:t>
        </w:r>
        <w:r>
          <w:rPr>
            <w:noProof/>
            <w:webHidden/>
          </w:rPr>
          <w:fldChar w:fldCharType="end"/>
        </w:r>
      </w:hyperlink>
    </w:p>
    <w:p w:rsidR="007C1473" w:rsidRDefault="00B55137">
      <w:pPr>
        <w:pStyle w:val="TOC2"/>
        <w:tabs>
          <w:tab w:val="right" w:leader="dot" w:pos="9017"/>
        </w:tabs>
        <w:rPr>
          <w:rFonts w:asciiTheme="minorHAnsi" w:eastAsiaTheme="minorEastAsia" w:hAnsiTheme="minorHAnsi" w:cstheme="minorBidi"/>
          <w:noProof/>
          <w:sz w:val="22"/>
          <w:szCs w:val="22"/>
          <w:lang w:val="en-US"/>
        </w:rPr>
      </w:pPr>
      <w:hyperlink w:anchor="_Toc320481428" w:history="1">
        <w:r w:rsidR="007C1473" w:rsidRPr="00220534">
          <w:rPr>
            <w:rStyle w:val="Hyperlink"/>
            <w:noProof/>
          </w:rPr>
          <w:t xml:space="preserve">Question 2 – </w:t>
        </w:r>
        <w:r w:rsidR="007C1473" w:rsidRPr="00220534">
          <w:rPr>
            <w:rStyle w:val="Hyperlink"/>
            <w:rFonts w:eastAsiaTheme="majorEastAsia"/>
            <w:noProof/>
          </w:rPr>
          <w:t>Critically evaluate the benefits and limitations of M&amp;As</w:t>
        </w:r>
        <w:r w:rsidR="007C1473">
          <w:rPr>
            <w:noProof/>
            <w:webHidden/>
          </w:rPr>
          <w:tab/>
        </w:r>
        <w:r>
          <w:rPr>
            <w:noProof/>
            <w:webHidden/>
          </w:rPr>
          <w:fldChar w:fldCharType="begin"/>
        </w:r>
        <w:r w:rsidR="007C1473">
          <w:rPr>
            <w:noProof/>
            <w:webHidden/>
          </w:rPr>
          <w:instrText xml:space="preserve"> PAGEREF _Toc320481428 \h </w:instrText>
        </w:r>
        <w:r>
          <w:rPr>
            <w:noProof/>
            <w:webHidden/>
          </w:rPr>
        </w:r>
        <w:r>
          <w:rPr>
            <w:noProof/>
            <w:webHidden/>
          </w:rPr>
          <w:fldChar w:fldCharType="separate"/>
        </w:r>
        <w:r w:rsidR="007C1473">
          <w:rPr>
            <w:noProof/>
            <w:webHidden/>
          </w:rPr>
          <w:t>9</w:t>
        </w:r>
        <w:r>
          <w:rPr>
            <w:noProof/>
            <w:webHidden/>
          </w:rPr>
          <w:fldChar w:fldCharType="end"/>
        </w:r>
      </w:hyperlink>
    </w:p>
    <w:p w:rsidR="007C1473" w:rsidRDefault="00B55137">
      <w:pPr>
        <w:pStyle w:val="TOC2"/>
        <w:tabs>
          <w:tab w:val="right" w:leader="dot" w:pos="9017"/>
        </w:tabs>
        <w:rPr>
          <w:rFonts w:asciiTheme="minorHAnsi" w:eastAsiaTheme="minorEastAsia" w:hAnsiTheme="minorHAnsi" w:cstheme="minorBidi"/>
          <w:noProof/>
          <w:sz w:val="22"/>
          <w:szCs w:val="22"/>
          <w:lang w:val="en-US"/>
        </w:rPr>
      </w:pPr>
      <w:hyperlink w:anchor="_Toc320481429" w:history="1">
        <w:r w:rsidR="007C1473" w:rsidRPr="00220534">
          <w:rPr>
            <w:rStyle w:val="Hyperlink"/>
            <w:noProof/>
          </w:rPr>
          <w:t xml:space="preserve">Question 3 – </w:t>
        </w:r>
        <w:r w:rsidR="007C1473" w:rsidRPr="00220534">
          <w:rPr>
            <w:rStyle w:val="Hyperlink"/>
            <w:rFonts w:eastAsiaTheme="majorEastAsia"/>
            <w:noProof/>
          </w:rPr>
          <w:t>Managing under South Africa’s restrictive foreign exchange controls</w:t>
        </w:r>
        <w:r w:rsidR="007C1473">
          <w:rPr>
            <w:noProof/>
            <w:webHidden/>
          </w:rPr>
          <w:tab/>
        </w:r>
        <w:r>
          <w:rPr>
            <w:noProof/>
            <w:webHidden/>
          </w:rPr>
          <w:fldChar w:fldCharType="begin"/>
        </w:r>
        <w:r w:rsidR="007C1473">
          <w:rPr>
            <w:noProof/>
            <w:webHidden/>
          </w:rPr>
          <w:instrText xml:space="preserve"> PAGEREF _Toc320481429 \h </w:instrText>
        </w:r>
        <w:r>
          <w:rPr>
            <w:noProof/>
            <w:webHidden/>
          </w:rPr>
        </w:r>
        <w:r>
          <w:rPr>
            <w:noProof/>
            <w:webHidden/>
          </w:rPr>
          <w:fldChar w:fldCharType="separate"/>
        </w:r>
        <w:r w:rsidR="007C1473">
          <w:rPr>
            <w:noProof/>
            <w:webHidden/>
          </w:rPr>
          <w:t>10</w:t>
        </w:r>
        <w:r>
          <w:rPr>
            <w:noProof/>
            <w:webHidden/>
          </w:rPr>
          <w:fldChar w:fldCharType="end"/>
        </w:r>
      </w:hyperlink>
    </w:p>
    <w:p w:rsidR="007C1473" w:rsidRDefault="00B55137">
      <w:pPr>
        <w:pStyle w:val="TOC1"/>
        <w:tabs>
          <w:tab w:val="right" w:leader="dot" w:pos="9017"/>
        </w:tabs>
        <w:rPr>
          <w:rFonts w:asciiTheme="minorHAnsi" w:eastAsiaTheme="minorEastAsia" w:hAnsiTheme="minorHAnsi" w:cstheme="minorBidi"/>
          <w:noProof/>
          <w:sz w:val="22"/>
          <w:szCs w:val="22"/>
          <w:lang w:val="en-US"/>
        </w:rPr>
      </w:pPr>
      <w:hyperlink w:anchor="_Toc320481430" w:history="1">
        <w:r w:rsidR="007C1473" w:rsidRPr="00220534">
          <w:rPr>
            <w:rStyle w:val="Hyperlink"/>
            <w:noProof/>
          </w:rPr>
          <w:t>References</w:t>
        </w:r>
        <w:r w:rsidR="007C1473">
          <w:rPr>
            <w:noProof/>
            <w:webHidden/>
          </w:rPr>
          <w:tab/>
        </w:r>
        <w:r>
          <w:rPr>
            <w:noProof/>
            <w:webHidden/>
          </w:rPr>
          <w:fldChar w:fldCharType="begin"/>
        </w:r>
        <w:r w:rsidR="007C1473">
          <w:rPr>
            <w:noProof/>
            <w:webHidden/>
          </w:rPr>
          <w:instrText xml:space="preserve"> PAGEREF _Toc320481430 \h </w:instrText>
        </w:r>
        <w:r>
          <w:rPr>
            <w:noProof/>
            <w:webHidden/>
          </w:rPr>
        </w:r>
        <w:r>
          <w:rPr>
            <w:noProof/>
            <w:webHidden/>
          </w:rPr>
          <w:fldChar w:fldCharType="separate"/>
        </w:r>
        <w:r w:rsidR="007C1473">
          <w:rPr>
            <w:noProof/>
            <w:webHidden/>
          </w:rPr>
          <w:t>11</w:t>
        </w:r>
        <w:r>
          <w:rPr>
            <w:noProof/>
            <w:webHidden/>
          </w:rPr>
          <w:fldChar w:fldCharType="end"/>
        </w:r>
      </w:hyperlink>
    </w:p>
    <w:p w:rsidR="00FB0B82" w:rsidRDefault="00B55137" w:rsidP="00FB0B82">
      <w:pPr>
        <w:pStyle w:val="Heading1"/>
      </w:pPr>
      <w:r w:rsidRPr="00FB0B82">
        <w:fldChar w:fldCharType="end"/>
      </w:r>
      <w:r w:rsidR="008755E4" w:rsidRPr="00FB0B82">
        <w:br w:type="column"/>
      </w:r>
      <w:bookmarkStart w:id="0" w:name="_Toc320481422"/>
      <w:bookmarkStart w:id="1" w:name="_Toc317111609"/>
      <w:r w:rsidR="006A3506" w:rsidRPr="00FB0B82">
        <w:lastRenderedPageBreak/>
        <w:t>Executive summary</w:t>
      </w:r>
      <w:bookmarkEnd w:id="0"/>
    </w:p>
    <w:p w:rsidR="00FB0B82" w:rsidRPr="004B1F42" w:rsidRDefault="00FB0B82" w:rsidP="00FB0B82">
      <w:pPr>
        <w:rPr>
          <w:i/>
        </w:rPr>
      </w:pPr>
      <w:r w:rsidRPr="004B1F42">
        <w:rPr>
          <w:i/>
        </w:rPr>
        <w:t xml:space="preserve">The global mining sector has seen an unprecedented span of growth and upheaval in the last one decade. All the metal and mineral commodities rose from their low point in 2001-02 </w:t>
      </w:r>
      <w:r w:rsidR="006760A1" w:rsidRPr="004B1F42">
        <w:rPr>
          <w:i/>
        </w:rPr>
        <w:t>periods</w:t>
      </w:r>
      <w:r w:rsidRPr="004B1F42">
        <w:rPr>
          <w:i/>
        </w:rPr>
        <w:t xml:space="preserve"> to an all time high in 2008. Although the global recession in 2008 severely affected their business global mining companies resumed their growth and surpassed their </w:t>
      </w:r>
      <w:r w:rsidR="006760A1" w:rsidRPr="004B1F42">
        <w:rPr>
          <w:i/>
        </w:rPr>
        <w:t>previous</w:t>
      </w:r>
      <w:r w:rsidRPr="004B1F42">
        <w:rPr>
          <w:i/>
        </w:rPr>
        <w:t xml:space="preserve"> highs by the end of 2010. However, standing at this crucial juncture, they face major opportunities and threats in their near future.</w:t>
      </w:r>
    </w:p>
    <w:p w:rsidR="00FB0B82" w:rsidRPr="004B1F42" w:rsidRDefault="00FB0B82" w:rsidP="00FB0B82">
      <w:pPr>
        <w:rPr>
          <w:rFonts w:eastAsiaTheme="majorEastAsia"/>
          <w:i/>
        </w:rPr>
      </w:pPr>
      <w:r w:rsidRPr="004B1F42">
        <w:rPr>
          <w:i/>
        </w:rPr>
        <w:t xml:space="preserve">This report attempts to address these growth opportunities and </w:t>
      </w:r>
      <w:r w:rsidR="007C1473" w:rsidRPr="004B1F42">
        <w:rPr>
          <w:i/>
        </w:rPr>
        <w:t xml:space="preserve">major hurdles of the mining sector. Further, efforts have been made to understand the serious implications of policy changes by governments and the rise of the emerging markets. The key management strategies and business growth models adopted by the largest mining companies such as </w:t>
      </w:r>
      <w:r w:rsidR="007C1473" w:rsidRPr="004B1F42">
        <w:rPr>
          <w:rFonts w:eastAsiaTheme="majorEastAsia"/>
          <w:i/>
        </w:rPr>
        <w:t>BHP Billiton, Royal Dutch Shell and Rio Tinto have been discussed in detail.</w:t>
      </w:r>
    </w:p>
    <w:p w:rsidR="007C1473" w:rsidRPr="004B1F42" w:rsidRDefault="007C1473" w:rsidP="00FB0B82">
      <w:pPr>
        <w:rPr>
          <w:rFonts w:eastAsiaTheme="majorEastAsia"/>
          <w:i/>
        </w:rPr>
      </w:pPr>
      <w:r w:rsidRPr="004B1F42">
        <w:rPr>
          <w:rFonts w:eastAsiaTheme="majorEastAsia"/>
          <w:i/>
        </w:rPr>
        <w:t xml:space="preserve">The key insights that have emerged from the study of the </w:t>
      </w:r>
      <w:r w:rsidRPr="004B1F42">
        <w:rPr>
          <w:i/>
        </w:rPr>
        <w:t>global mining sector are:</w:t>
      </w:r>
    </w:p>
    <w:p w:rsidR="007C1473" w:rsidRPr="004B1F42" w:rsidRDefault="007C1473" w:rsidP="007C1473">
      <w:pPr>
        <w:pStyle w:val="ListParagraph"/>
        <w:numPr>
          <w:ilvl w:val="0"/>
          <w:numId w:val="16"/>
        </w:numPr>
        <w:rPr>
          <w:rFonts w:eastAsiaTheme="majorEastAsia"/>
          <w:i/>
        </w:rPr>
      </w:pPr>
      <w:r w:rsidRPr="004B1F42">
        <w:rPr>
          <w:rFonts w:eastAsiaTheme="majorEastAsia"/>
          <w:i/>
        </w:rPr>
        <w:t>Resource nationalism among resource rich countries has created constrained supply exacerbated and has created serious threat to the businesses of global mining companies. Recent experiences of nationalisation of natural resource mining activities show that governments in emerging markets can create a new national mining company and also disrupt the supply to global trade.</w:t>
      </w:r>
    </w:p>
    <w:p w:rsidR="007C1473" w:rsidRPr="004B1F42" w:rsidRDefault="007C1473" w:rsidP="007C1473">
      <w:pPr>
        <w:pStyle w:val="ListParagraph"/>
        <w:numPr>
          <w:ilvl w:val="0"/>
          <w:numId w:val="16"/>
        </w:numPr>
        <w:rPr>
          <w:rFonts w:eastAsiaTheme="majorEastAsia"/>
          <w:i/>
        </w:rPr>
      </w:pPr>
      <w:r w:rsidRPr="004B1F42">
        <w:rPr>
          <w:rFonts w:eastAsiaTheme="majorEastAsia"/>
          <w:i/>
        </w:rPr>
        <w:t xml:space="preserve">Shifting tax and royalty policies have begun to target the mining sector and eat into its profitability. Following the global recession, many governments have fallen short on cash, which has exasperated this risk.  </w:t>
      </w:r>
    </w:p>
    <w:p w:rsidR="007C1473" w:rsidRPr="004B1F42" w:rsidRDefault="007C1473" w:rsidP="007C1473">
      <w:pPr>
        <w:pStyle w:val="ListParagraph"/>
        <w:numPr>
          <w:ilvl w:val="0"/>
          <w:numId w:val="16"/>
        </w:numPr>
        <w:rPr>
          <w:rFonts w:eastAsiaTheme="majorEastAsia"/>
          <w:i/>
        </w:rPr>
      </w:pPr>
      <w:r w:rsidRPr="004B1F42">
        <w:rPr>
          <w:i/>
        </w:rPr>
        <w:t>Emerging markets led by the BRIC countries have displayed voracious appetite for natural resources to satisfy needs of their growing populations. This is apparent in the rising commodity prices despite the subdued demand in developed markets.</w:t>
      </w:r>
    </w:p>
    <w:p w:rsidR="006A3506" w:rsidRDefault="006A0F3E" w:rsidP="006A3506">
      <w:pPr>
        <w:pStyle w:val="ListParagraph"/>
        <w:numPr>
          <w:ilvl w:val="0"/>
          <w:numId w:val="16"/>
        </w:numPr>
      </w:pPr>
      <w:r w:rsidRPr="004B1F42">
        <w:rPr>
          <w:rFonts w:eastAsiaTheme="majorEastAsia"/>
          <w:i/>
        </w:rPr>
        <w:t>M&amp;A deals are happening across geographies and mining sectors. Industry players are focussing on these deals for two main reasons: One is to gain market share in their existing segment through vertical integration by acquiring upstream assets.</w:t>
      </w:r>
      <w:r>
        <w:t xml:space="preserve"> </w:t>
      </w:r>
      <w:r w:rsidR="006A3506">
        <w:br w:type="page"/>
      </w:r>
    </w:p>
    <w:p w:rsidR="005E0D7D" w:rsidRDefault="003F5F28" w:rsidP="005E0D7D">
      <w:pPr>
        <w:pStyle w:val="Heading1"/>
      </w:pPr>
      <w:bookmarkStart w:id="2" w:name="_Toc320481423"/>
      <w:r w:rsidRPr="0048219E">
        <w:lastRenderedPageBreak/>
        <w:t>Introduction</w:t>
      </w:r>
      <w:bookmarkStart w:id="3" w:name="_Toc317111616"/>
      <w:bookmarkEnd w:id="1"/>
      <w:bookmarkEnd w:id="2"/>
    </w:p>
    <w:p w:rsidR="00610EDC" w:rsidRDefault="005E0D7D" w:rsidP="005E0D7D">
      <w:r w:rsidRPr="005E0D7D">
        <w:t xml:space="preserve">The global mining sector </w:t>
      </w:r>
      <w:r w:rsidR="0097422A">
        <w:t xml:space="preserve">is in a major state of transition due to a variety of geo-political and economic factors. The sector </w:t>
      </w:r>
      <w:r w:rsidRPr="005E0D7D">
        <w:t xml:space="preserve">is increasingly impacted by </w:t>
      </w:r>
      <w:r w:rsidR="0097422A">
        <w:t xml:space="preserve">drastic </w:t>
      </w:r>
      <w:r w:rsidRPr="005E0D7D">
        <w:t xml:space="preserve">political actions of resource-hungry nations, empowered </w:t>
      </w:r>
      <w:r w:rsidR="002940B2">
        <w:t xml:space="preserve">rising demand from emerging markets, </w:t>
      </w:r>
      <w:r w:rsidRPr="005E0D7D">
        <w:t>local communities in resource-rich areas</w:t>
      </w:r>
      <w:r w:rsidR="0097422A">
        <w:t>, climate change negotiations</w:t>
      </w:r>
      <w:r w:rsidRPr="005E0D7D">
        <w:t>.</w:t>
      </w:r>
      <w:r w:rsidR="002940B2">
        <w:t xml:space="preserve"> </w:t>
      </w:r>
      <w:r w:rsidR="00610EDC">
        <w:t>This report attempts to understand the</w:t>
      </w:r>
      <w:r w:rsidR="00610EDC" w:rsidRPr="00610EDC">
        <w:t xml:space="preserve"> key </w:t>
      </w:r>
      <w:r w:rsidR="002940B2">
        <w:t xml:space="preserve">issues on </w:t>
      </w:r>
      <w:r w:rsidR="00610EDC" w:rsidRPr="00610EDC">
        <w:t xml:space="preserve">global corporate policies and strategies </w:t>
      </w:r>
      <w:r w:rsidR="002940B2">
        <w:t xml:space="preserve">of </w:t>
      </w:r>
      <w:r w:rsidR="00610EDC" w:rsidRPr="00610EDC">
        <w:t>the global mining and metals industry</w:t>
      </w:r>
      <w:r w:rsidR="002940B2">
        <w:t xml:space="preserve">, </w:t>
      </w:r>
      <w:r w:rsidR="00CA6415">
        <w:t>including a</w:t>
      </w:r>
      <w:r w:rsidR="002940B2">
        <w:t xml:space="preserve"> study </w:t>
      </w:r>
      <w:r w:rsidR="00CA6415">
        <w:t>of leading companies such as</w:t>
      </w:r>
      <w:r w:rsidR="002940B2">
        <w:t xml:space="preserve">, </w:t>
      </w:r>
      <w:r w:rsidR="002940B2" w:rsidRPr="002940B2">
        <w:t>BHP Billiton</w:t>
      </w:r>
      <w:r w:rsidR="00CA6415">
        <w:t xml:space="preserve">, </w:t>
      </w:r>
      <w:r w:rsidR="00CA6415" w:rsidRPr="00CA6415">
        <w:t>Anglo American</w:t>
      </w:r>
      <w:r w:rsidR="00CA6415">
        <w:t xml:space="preserve">, </w:t>
      </w:r>
      <w:r w:rsidR="00CA6415" w:rsidRPr="00CA6415">
        <w:t>Rio Tinto</w:t>
      </w:r>
      <w:r w:rsidR="00CA6415">
        <w:t xml:space="preserve"> and </w:t>
      </w:r>
      <w:r w:rsidR="00CA6415" w:rsidRPr="00CA6415">
        <w:t>Vale S.A.</w:t>
      </w:r>
    </w:p>
    <w:p w:rsidR="00947663" w:rsidRDefault="00610EDC" w:rsidP="005E0D7D">
      <w:r>
        <w:t xml:space="preserve">A recent report by </w:t>
      </w:r>
      <w:r w:rsidR="00947663" w:rsidRPr="00947663">
        <w:t xml:space="preserve">Deloitte </w:t>
      </w:r>
      <w:r>
        <w:t>(</w:t>
      </w:r>
      <w:r w:rsidR="00947663" w:rsidRPr="00947663">
        <w:t>2011</w:t>
      </w:r>
      <w:r>
        <w:t>)</w:t>
      </w:r>
      <w:r w:rsidR="00947663" w:rsidRPr="00947663">
        <w:t xml:space="preserve"> </w:t>
      </w:r>
      <w:r>
        <w:t>discuss</w:t>
      </w:r>
      <w:r w:rsidR="004C0530">
        <w:t>ing</w:t>
      </w:r>
      <w:r>
        <w:t xml:space="preserve"> </w:t>
      </w:r>
      <w:r w:rsidR="002940B2">
        <w:t xml:space="preserve">about </w:t>
      </w:r>
      <w:r>
        <w:t xml:space="preserve">the major </w:t>
      </w:r>
      <w:r w:rsidR="00947663" w:rsidRPr="00947663">
        <w:t xml:space="preserve">issues </w:t>
      </w:r>
      <w:r>
        <w:t xml:space="preserve">facing the </w:t>
      </w:r>
      <w:r w:rsidR="00947663" w:rsidRPr="00947663">
        <w:t>mining companies</w:t>
      </w:r>
      <w:r w:rsidR="002940B2">
        <w:t>,</w:t>
      </w:r>
      <w:r w:rsidR="00947663" w:rsidRPr="00947663">
        <w:t xml:space="preserve"> </w:t>
      </w:r>
      <w:r>
        <w:t xml:space="preserve">states that </w:t>
      </w:r>
      <w:r w:rsidR="00947663" w:rsidRPr="00947663">
        <w:t>the mining industry will need to change its modus operandi to stay current in the new global economy. In 2011</w:t>
      </w:r>
      <w:r w:rsidR="002940B2">
        <w:t>,</w:t>
      </w:r>
      <w:r w:rsidR="00947663" w:rsidRPr="00947663">
        <w:t xml:space="preserve"> the mining companies will face a complex mix of problems: getting permits for new mines, finding skilled labo</w:t>
      </w:r>
      <w:r w:rsidR="002940B2">
        <w:t>u</w:t>
      </w:r>
      <w:r w:rsidR="00947663" w:rsidRPr="00947663">
        <w:t xml:space="preserve">r, </w:t>
      </w:r>
      <w:r w:rsidR="002940B2">
        <w:t xml:space="preserve">battling new tax and royalty regimes and along with </w:t>
      </w:r>
      <w:r w:rsidR="00947663" w:rsidRPr="00947663">
        <w:t>Chinese activities. In 2009</w:t>
      </w:r>
      <w:r w:rsidR="002940B2">
        <w:t>,</w:t>
      </w:r>
      <w:r w:rsidR="00947663" w:rsidRPr="00947663">
        <w:t xml:space="preserve"> China made 33 deals with a combined value of US$9.2 billion.</w:t>
      </w:r>
      <w:r w:rsidR="00B063EA">
        <w:t xml:space="preserve"> Various industry reports have consistently pointed out some major issues of concern.</w:t>
      </w:r>
    </w:p>
    <w:p w:rsidR="005E0D7D" w:rsidRDefault="005E0D7D" w:rsidP="00B063EA">
      <w:pPr>
        <w:pStyle w:val="Heading3"/>
      </w:pPr>
      <w:r>
        <w:t xml:space="preserve">Resource Nationalism </w:t>
      </w:r>
    </w:p>
    <w:p w:rsidR="00567CF7" w:rsidRPr="005E0D7D" w:rsidRDefault="005E0D7D" w:rsidP="00567CF7">
      <w:pPr>
        <w:rPr>
          <w:rFonts w:eastAsiaTheme="majorEastAsia"/>
        </w:rPr>
      </w:pPr>
      <w:r>
        <w:t>Resource nationalism in Africa is becoming rampant with African governments are seeking higher rents and bigger ownership stakes from foreign miners</w:t>
      </w:r>
      <w:r w:rsidR="00567CF7">
        <w:t xml:space="preserve">. </w:t>
      </w:r>
      <w:r w:rsidR="00567CF7" w:rsidRPr="005E0D7D">
        <w:rPr>
          <w:rFonts w:eastAsiaTheme="majorEastAsia"/>
        </w:rPr>
        <w:t>The Economist</w:t>
      </w:r>
      <w:r w:rsidR="00567CF7">
        <w:t xml:space="preserve"> noted that </w:t>
      </w:r>
      <w:r w:rsidR="00567CF7" w:rsidRPr="00567CF7">
        <w:t>Ghana, Africa’s second-biggest gold producer, recently announced a review of all mining contracts to ensure that mining profits are “maximised for the good of the country". Zambia, which is Africa’s biggest copper producer, recently doubled its royalties on the metal, to 6%. Guinea, home to the world’s largest bauxite reserves as well as one of the world’s biggest iron-ore deposits, is helping itself to a 15% stake in all mining projects and an option to buy a further 20%. Namibia has decided to transfer all new mining and explo</w:t>
      </w:r>
      <w:r w:rsidR="00567CF7">
        <w:t xml:space="preserve">ration to a state-owned company </w:t>
      </w:r>
      <w:r w:rsidR="00567CF7" w:rsidRPr="005E0D7D">
        <w:rPr>
          <w:rFonts w:eastAsiaTheme="majorEastAsia"/>
        </w:rPr>
        <w:t>(The Economist, 2012)</w:t>
      </w:r>
      <w:r w:rsidR="00567CF7">
        <w:rPr>
          <w:rFonts w:eastAsiaTheme="majorEastAsia"/>
        </w:rPr>
        <w:t>.</w:t>
      </w:r>
    </w:p>
    <w:p w:rsidR="005E0D7D" w:rsidRDefault="002940B2" w:rsidP="005E0D7D">
      <w:pPr>
        <w:rPr>
          <w:rFonts w:eastAsiaTheme="majorEastAsia"/>
        </w:rPr>
      </w:pPr>
      <w:r>
        <w:rPr>
          <w:rFonts w:eastAsiaTheme="majorEastAsia"/>
        </w:rPr>
        <w:t xml:space="preserve">Similarly, in Asia, </w:t>
      </w:r>
      <w:r w:rsidR="005E0D7D" w:rsidRPr="005E0D7D">
        <w:rPr>
          <w:rFonts w:eastAsiaTheme="majorEastAsia"/>
        </w:rPr>
        <w:t>China’s biggest trading partners—Japan, the European Union and America—</w:t>
      </w:r>
      <w:r w:rsidR="00567CF7">
        <w:rPr>
          <w:rFonts w:eastAsiaTheme="majorEastAsia"/>
        </w:rPr>
        <w:t xml:space="preserve">have </w:t>
      </w:r>
      <w:r w:rsidR="00567CF7" w:rsidRPr="005E0D7D">
        <w:rPr>
          <w:rFonts w:eastAsiaTheme="majorEastAsia"/>
        </w:rPr>
        <w:t xml:space="preserve">complained </w:t>
      </w:r>
      <w:r w:rsidR="00567CF7">
        <w:rPr>
          <w:rFonts w:eastAsiaTheme="majorEastAsia"/>
        </w:rPr>
        <w:t xml:space="preserve">to </w:t>
      </w:r>
      <w:r w:rsidR="005E0D7D" w:rsidRPr="005E0D7D">
        <w:rPr>
          <w:rFonts w:eastAsiaTheme="majorEastAsia"/>
        </w:rPr>
        <w:t xml:space="preserve">the World Trade Organisation alleging that China was unfairly restricting its exports of tungsten, molybdenum and 17 </w:t>
      </w:r>
      <w:r w:rsidR="00567CF7">
        <w:rPr>
          <w:rFonts w:eastAsiaTheme="majorEastAsia"/>
        </w:rPr>
        <w:t>rare earth minerals</w:t>
      </w:r>
      <w:r w:rsidR="005E0D7D" w:rsidRPr="005E0D7D">
        <w:rPr>
          <w:rFonts w:eastAsiaTheme="majorEastAsia"/>
        </w:rPr>
        <w:t>, obscure elements such as terbium and europium, used in the manufacture of many high-tech goods (The Economist, 2012)</w:t>
      </w:r>
      <w:r w:rsidR="00567CF7">
        <w:rPr>
          <w:rFonts w:eastAsiaTheme="majorEastAsia"/>
        </w:rPr>
        <w:t>.</w:t>
      </w:r>
    </w:p>
    <w:p w:rsidR="002940B2" w:rsidRDefault="00F92A4E" w:rsidP="00B063EA">
      <w:pPr>
        <w:pStyle w:val="Heading3"/>
        <w:rPr>
          <w:rFonts w:eastAsiaTheme="majorEastAsia"/>
        </w:rPr>
      </w:pPr>
      <w:r>
        <w:rPr>
          <w:rFonts w:eastAsiaTheme="majorEastAsia"/>
        </w:rPr>
        <w:lastRenderedPageBreak/>
        <w:t>T</w:t>
      </w:r>
      <w:r w:rsidR="002940B2">
        <w:rPr>
          <w:rFonts w:eastAsiaTheme="majorEastAsia"/>
        </w:rPr>
        <w:t>ax</w:t>
      </w:r>
      <w:r>
        <w:rPr>
          <w:rFonts w:eastAsiaTheme="majorEastAsia"/>
        </w:rPr>
        <w:t>ation and royalty policies</w:t>
      </w:r>
    </w:p>
    <w:p w:rsidR="002940B2" w:rsidRDefault="00B063EA" w:rsidP="005E0D7D">
      <w:pPr>
        <w:rPr>
          <w:rFonts w:eastAsiaTheme="majorEastAsia"/>
        </w:rPr>
      </w:pPr>
      <w:r>
        <w:rPr>
          <w:rFonts w:eastAsiaTheme="majorEastAsia"/>
        </w:rPr>
        <w:t xml:space="preserve">The </w:t>
      </w:r>
      <w:r>
        <w:t xml:space="preserve">mining sector’s </w:t>
      </w:r>
      <w:r>
        <w:rPr>
          <w:rFonts w:eastAsiaTheme="majorEastAsia"/>
        </w:rPr>
        <w:t xml:space="preserve">recovery from the global </w:t>
      </w:r>
      <w:r w:rsidR="003B48DC">
        <w:rPr>
          <w:rFonts w:eastAsiaTheme="majorEastAsia"/>
        </w:rPr>
        <w:t xml:space="preserve">financial </w:t>
      </w:r>
      <w:r>
        <w:rPr>
          <w:rFonts w:eastAsiaTheme="majorEastAsia"/>
        </w:rPr>
        <w:t>crisis was remarkable with r</w:t>
      </w:r>
      <w:r w:rsidRPr="00B063EA">
        <w:rPr>
          <w:rFonts w:eastAsiaTheme="majorEastAsia"/>
        </w:rPr>
        <w:t xml:space="preserve">evenues for the world’s 40 largest </w:t>
      </w:r>
      <w:r w:rsidRPr="00947663">
        <w:t xml:space="preserve">mining companies </w:t>
      </w:r>
      <w:r>
        <w:rPr>
          <w:rFonts w:eastAsiaTheme="majorEastAsia"/>
        </w:rPr>
        <w:t xml:space="preserve">rose by </w:t>
      </w:r>
      <w:r w:rsidRPr="00B063EA">
        <w:rPr>
          <w:rFonts w:eastAsiaTheme="majorEastAsia"/>
        </w:rPr>
        <w:t xml:space="preserve">32% to </w:t>
      </w:r>
      <w:r>
        <w:rPr>
          <w:rFonts w:eastAsiaTheme="majorEastAsia"/>
        </w:rPr>
        <w:t xml:space="preserve">reach </w:t>
      </w:r>
      <w:r w:rsidRPr="00B063EA">
        <w:rPr>
          <w:rFonts w:eastAsiaTheme="majorEastAsia"/>
        </w:rPr>
        <w:t xml:space="preserve">a record </w:t>
      </w:r>
      <w:r>
        <w:rPr>
          <w:rFonts w:eastAsiaTheme="majorEastAsia"/>
        </w:rPr>
        <w:t>US</w:t>
      </w:r>
      <w:r w:rsidRPr="00B063EA">
        <w:rPr>
          <w:rFonts w:eastAsiaTheme="majorEastAsia"/>
        </w:rPr>
        <w:t xml:space="preserve">$435 billion, driven by surging commodity prices and a 5% increase in production output in 2010.The strong top-line result catapulted the </w:t>
      </w:r>
      <w:r w:rsidRPr="00947663">
        <w:t>mining companies</w:t>
      </w:r>
      <w:r>
        <w:t>’</w:t>
      </w:r>
      <w:r w:rsidRPr="00947663">
        <w:t xml:space="preserve"> </w:t>
      </w:r>
      <w:r>
        <w:rPr>
          <w:rFonts w:eastAsiaTheme="majorEastAsia"/>
        </w:rPr>
        <w:t>net profit</w:t>
      </w:r>
      <w:r w:rsidRPr="00B063EA">
        <w:rPr>
          <w:rFonts w:eastAsiaTheme="majorEastAsia"/>
        </w:rPr>
        <w:t xml:space="preserve"> to an impressive </w:t>
      </w:r>
      <w:r>
        <w:rPr>
          <w:rFonts w:eastAsiaTheme="majorEastAsia"/>
        </w:rPr>
        <w:t>US</w:t>
      </w:r>
      <w:r w:rsidRPr="00B063EA">
        <w:rPr>
          <w:rFonts w:eastAsiaTheme="majorEastAsia"/>
        </w:rPr>
        <w:t xml:space="preserve">$110 billion – a 156% </w:t>
      </w:r>
      <w:r w:rsidR="00952794">
        <w:rPr>
          <w:rFonts w:eastAsiaTheme="majorEastAsia"/>
        </w:rPr>
        <w:t>increase over the previous year</w:t>
      </w:r>
      <w:r>
        <w:rPr>
          <w:rFonts w:eastAsiaTheme="majorEastAsia"/>
        </w:rPr>
        <w:t xml:space="preserve"> (PWC,</w:t>
      </w:r>
      <w:r w:rsidR="003B48DC">
        <w:rPr>
          <w:rFonts w:eastAsiaTheme="majorEastAsia"/>
        </w:rPr>
        <w:t xml:space="preserve"> </w:t>
      </w:r>
      <w:r>
        <w:rPr>
          <w:rFonts w:eastAsiaTheme="majorEastAsia"/>
        </w:rPr>
        <w:t>2011).</w:t>
      </w:r>
    </w:p>
    <w:p w:rsidR="003356CD" w:rsidRPr="003356CD" w:rsidRDefault="00B063EA" w:rsidP="003356CD">
      <w:pPr>
        <w:rPr>
          <w:rFonts w:eastAsiaTheme="majorEastAsia"/>
        </w:rPr>
      </w:pPr>
      <w:r>
        <w:rPr>
          <w:rFonts w:eastAsiaTheme="majorEastAsia"/>
        </w:rPr>
        <w:t>However, PWC in its Mine Trends 2011 report warn</w:t>
      </w:r>
      <w:r w:rsidR="003B48DC">
        <w:rPr>
          <w:rFonts w:eastAsiaTheme="majorEastAsia"/>
        </w:rPr>
        <w:t>s</w:t>
      </w:r>
      <w:r>
        <w:rPr>
          <w:rFonts w:eastAsiaTheme="majorEastAsia"/>
        </w:rPr>
        <w:t xml:space="preserve"> that the sector needs to watch out for </w:t>
      </w:r>
      <w:r w:rsidRPr="00B063EA">
        <w:rPr>
          <w:rFonts w:eastAsiaTheme="majorEastAsia"/>
        </w:rPr>
        <w:t xml:space="preserve">supply </w:t>
      </w:r>
      <w:r>
        <w:rPr>
          <w:rFonts w:eastAsiaTheme="majorEastAsia"/>
        </w:rPr>
        <w:t>constraints</w:t>
      </w:r>
      <w:r w:rsidRPr="00B063EA">
        <w:rPr>
          <w:rFonts w:eastAsiaTheme="majorEastAsia"/>
        </w:rPr>
        <w:t xml:space="preserve">, labour </w:t>
      </w:r>
      <w:r>
        <w:rPr>
          <w:rFonts w:eastAsiaTheme="majorEastAsia"/>
        </w:rPr>
        <w:t xml:space="preserve">shortages and </w:t>
      </w:r>
      <w:r w:rsidR="00086C86">
        <w:rPr>
          <w:rFonts w:eastAsiaTheme="majorEastAsia"/>
        </w:rPr>
        <w:t xml:space="preserve">ever increasing scrutiny from </w:t>
      </w:r>
      <w:r w:rsidRPr="00B063EA">
        <w:rPr>
          <w:rFonts w:eastAsiaTheme="majorEastAsia"/>
        </w:rPr>
        <w:t>governments</w:t>
      </w:r>
      <w:r>
        <w:rPr>
          <w:rFonts w:eastAsiaTheme="majorEastAsia"/>
        </w:rPr>
        <w:t xml:space="preserve">. </w:t>
      </w:r>
      <w:r w:rsidR="003356CD">
        <w:rPr>
          <w:rFonts w:eastAsiaTheme="majorEastAsia"/>
        </w:rPr>
        <w:t xml:space="preserve">Particularly, </w:t>
      </w:r>
      <w:r w:rsidR="003356CD" w:rsidRPr="003356CD">
        <w:rPr>
          <w:rFonts w:eastAsiaTheme="majorEastAsia"/>
        </w:rPr>
        <w:t xml:space="preserve">shifting tax and royalty policies </w:t>
      </w:r>
      <w:r w:rsidR="003356CD">
        <w:rPr>
          <w:rFonts w:eastAsiaTheme="majorEastAsia"/>
        </w:rPr>
        <w:t xml:space="preserve">have begun to </w:t>
      </w:r>
      <w:r w:rsidR="003356CD" w:rsidRPr="003356CD">
        <w:rPr>
          <w:rFonts w:eastAsiaTheme="majorEastAsia"/>
        </w:rPr>
        <w:t>target the mining sector and eat into profitability. Following the global recession</w:t>
      </w:r>
      <w:r w:rsidR="003356CD">
        <w:rPr>
          <w:rFonts w:eastAsiaTheme="majorEastAsia"/>
        </w:rPr>
        <w:t>,</w:t>
      </w:r>
      <w:r w:rsidR="003356CD" w:rsidRPr="003356CD">
        <w:rPr>
          <w:rFonts w:eastAsiaTheme="majorEastAsia"/>
        </w:rPr>
        <w:t xml:space="preserve"> many governments </w:t>
      </w:r>
      <w:r w:rsidR="00F92A4E">
        <w:rPr>
          <w:rFonts w:eastAsiaTheme="majorEastAsia"/>
        </w:rPr>
        <w:t>have fallen</w:t>
      </w:r>
      <w:r w:rsidR="003356CD">
        <w:rPr>
          <w:rFonts w:eastAsiaTheme="majorEastAsia"/>
        </w:rPr>
        <w:t xml:space="preserve"> </w:t>
      </w:r>
      <w:r w:rsidR="003356CD" w:rsidRPr="003356CD">
        <w:rPr>
          <w:rFonts w:eastAsiaTheme="majorEastAsia"/>
        </w:rPr>
        <w:t xml:space="preserve">short on cash, </w:t>
      </w:r>
      <w:r w:rsidR="003356CD">
        <w:rPr>
          <w:rFonts w:eastAsiaTheme="majorEastAsia"/>
        </w:rPr>
        <w:t xml:space="preserve">which has exasperated </w:t>
      </w:r>
      <w:r w:rsidR="003356CD" w:rsidRPr="003356CD">
        <w:rPr>
          <w:rFonts w:eastAsiaTheme="majorEastAsia"/>
        </w:rPr>
        <w:t>this risk.</w:t>
      </w:r>
      <w:r w:rsidR="003356CD">
        <w:rPr>
          <w:rFonts w:eastAsiaTheme="majorEastAsia"/>
        </w:rPr>
        <w:t xml:space="preserve"> Particularly, emerging countries look at the enormous profits of mining companies as loot of their national resources. </w:t>
      </w:r>
      <w:r w:rsidR="003356CD" w:rsidRPr="003356CD">
        <w:rPr>
          <w:rFonts w:eastAsiaTheme="majorEastAsia"/>
        </w:rPr>
        <w:t xml:space="preserve">Democratic Republic of Congo, </w:t>
      </w:r>
      <w:r w:rsidR="004C0530" w:rsidRPr="004C0530">
        <w:rPr>
          <w:rFonts w:eastAsiaTheme="majorEastAsia"/>
        </w:rPr>
        <w:t>Chile,</w:t>
      </w:r>
      <w:r w:rsidR="004C0530">
        <w:rPr>
          <w:rFonts w:eastAsiaTheme="majorEastAsia"/>
        </w:rPr>
        <w:t xml:space="preserve"> South Africa, Zambia, Tanzania, </w:t>
      </w:r>
      <w:r w:rsidR="004C0530" w:rsidRPr="004C0530">
        <w:rPr>
          <w:rFonts w:eastAsiaTheme="majorEastAsia"/>
        </w:rPr>
        <w:t xml:space="preserve">Burkina Faso </w:t>
      </w:r>
      <w:r w:rsidR="004C0530">
        <w:rPr>
          <w:rFonts w:eastAsiaTheme="majorEastAsia"/>
        </w:rPr>
        <w:t xml:space="preserve">and </w:t>
      </w:r>
      <w:r w:rsidR="003356CD" w:rsidRPr="003356CD">
        <w:rPr>
          <w:rFonts w:eastAsiaTheme="majorEastAsia"/>
        </w:rPr>
        <w:t>India</w:t>
      </w:r>
      <w:r w:rsidR="003356CD">
        <w:rPr>
          <w:rFonts w:eastAsiaTheme="majorEastAsia"/>
        </w:rPr>
        <w:t xml:space="preserve"> have all either considered a windfall tax on mining companies or have implemented it</w:t>
      </w:r>
      <w:r w:rsidR="004C0530">
        <w:rPr>
          <w:rFonts w:eastAsiaTheme="majorEastAsia"/>
        </w:rPr>
        <w:t xml:space="preserve"> (</w:t>
      </w:r>
      <w:r w:rsidR="004C0530">
        <w:t xml:space="preserve">Deloitte, </w:t>
      </w:r>
      <w:r w:rsidR="004C0530" w:rsidRPr="00947663">
        <w:t>2011</w:t>
      </w:r>
      <w:r w:rsidR="004C0530">
        <w:t>)</w:t>
      </w:r>
      <w:r w:rsidR="003356CD">
        <w:rPr>
          <w:rFonts w:eastAsiaTheme="majorEastAsia"/>
        </w:rPr>
        <w:t>. T</w:t>
      </w:r>
      <w:r w:rsidR="00086C86">
        <w:rPr>
          <w:rFonts w:eastAsiaTheme="majorEastAsia"/>
        </w:rPr>
        <w:t xml:space="preserve">his is not confined to emerging </w:t>
      </w:r>
      <w:r w:rsidR="003356CD">
        <w:rPr>
          <w:rFonts w:eastAsiaTheme="majorEastAsia"/>
        </w:rPr>
        <w:t xml:space="preserve">countries alone. In 2012, </w:t>
      </w:r>
      <w:r w:rsidR="003356CD" w:rsidRPr="003356CD">
        <w:rPr>
          <w:rFonts w:eastAsiaTheme="majorEastAsia"/>
        </w:rPr>
        <w:t xml:space="preserve">Australia passed </w:t>
      </w:r>
      <w:r w:rsidR="003356CD">
        <w:rPr>
          <w:rFonts w:eastAsiaTheme="majorEastAsia"/>
        </w:rPr>
        <w:t xml:space="preserve">the </w:t>
      </w:r>
      <w:r w:rsidR="003356CD" w:rsidRPr="003356CD">
        <w:rPr>
          <w:rFonts w:eastAsiaTheme="majorEastAsia"/>
        </w:rPr>
        <w:t xml:space="preserve">Resource Rent Tax legislation that will reap about </w:t>
      </w:r>
      <w:r w:rsidR="003356CD">
        <w:rPr>
          <w:rFonts w:eastAsiaTheme="majorEastAsia"/>
        </w:rPr>
        <w:t>US</w:t>
      </w:r>
      <w:r w:rsidR="003356CD" w:rsidRPr="003356CD">
        <w:rPr>
          <w:rFonts w:eastAsiaTheme="majorEastAsia"/>
        </w:rPr>
        <w:t xml:space="preserve">$11 billion in taxes </w:t>
      </w:r>
      <w:r w:rsidR="003356CD">
        <w:rPr>
          <w:rFonts w:eastAsiaTheme="majorEastAsia"/>
        </w:rPr>
        <w:t xml:space="preserve">from BHP Billiton, </w:t>
      </w:r>
      <w:r w:rsidR="003356CD" w:rsidRPr="003356CD">
        <w:rPr>
          <w:rFonts w:eastAsiaTheme="majorEastAsia"/>
        </w:rPr>
        <w:t xml:space="preserve">Rio Tinto and other iron-ore and coal </w:t>
      </w:r>
      <w:r w:rsidR="003356CD" w:rsidRPr="00947663">
        <w:t>mining companies</w:t>
      </w:r>
      <w:r w:rsidR="003356CD">
        <w:t xml:space="preserve"> </w:t>
      </w:r>
      <w:r w:rsidR="003356CD" w:rsidRPr="003356CD">
        <w:rPr>
          <w:rFonts w:eastAsiaTheme="majorEastAsia"/>
        </w:rPr>
        <w:t>as the government seeks to turn its budget to surplus</w:t>
      </w:r>
      <w:r w:rsidR="003356CD">
        <w:rPr>
          <w:rFonts w:eastAsiaTheme="majorEastAsia"/>
        </w:rPr>
        <w:t xml:space="preserve"> (Bloomberg, 2012)</w:t>
      </w:r>
      <w:r w:rsidR="003356CD" w:rsidRPr="003356CD">
        <w:rPr>
          <w:rFonts w:eastAsiaTheme="majorEastAsia"/>
        </w:rPr>
        <w:t>.</w:t>
      </w:r>
    </w:p>
    <w:p w:rsidR="002940B2" w:rsidRDefault="006A3506" w:rsidP="00D354DE">
      <w:pPr>
        <w:pStyle w:val="Heading3"/>
        <w:rPr>
          <w:rFonts w:eastAsiaTheme="majorEastAsia"/>
        </w:rPr>
      </w:pPr>
      <w:r>
        <w:rPr>
          <w:rFonts w:eastAsiaTheme="majorEastAsia"/>
        </w:rPr>
        <w:t>Power of emerging markets</w:t>
      </w:r>
    </w:p>
    <w:p w:rsidR="002940B2" w:rsidRDefault="00EE5EF4" w:rsidP="00A42E92">
      <w:pPr>
        <w:rPr>
          <w:rFonts w:eastAsiaTheme="majorEastAsia"/>
          <w:b/>
          <w:bCs/>
          <w:sz w:val="28"/>
          <w:szCs w:val="36"/>
          <w:lang w:val="en-US"/>
        </w:rPr>
      </w:pPr>
      <w:r w:rsidRPr="00EE5EF4">
        <w:rPr>
          <w:rFonts w:eastAsiaTheme="majorEastAsia"/>
        </w:rPr>
        <w:t>All through the modern history of global econo</w:t>
      </w:r>
      <w:r w:rsidR="00086C86">
        <w:rPr>
          <w:rFonts w:eastAsiaTheme="majorEastAsia"/>
        </w:rPr>
        <w:t xml:space="preserve">mics, the flow of resources and </w:t>
      </w:r>
      <w:r w:rsidRPr="00EE5EF4">
        <w:rPr>
          <w:rFonts w:eastAsiaTheme="majorEastAsia"/>
        </w:rPr>
        <w:t xml:space="preserve">finished goods </w:t>
      </w:r>
      <w:r>
        <w:rPr>
          <w:rFonts w:eastAsiaTheme="majorEastAsia"/>
        </w:rPr>
        <w:t xml:space="preserve">followed a familiar pattern. Developing countries exported natural resources as raw materials to the industries in the developed world and bought back finished manufactured goods (UNECA, 2011). The global crisis has weakened the developed world in Western Europe and North America to such an extent that despite their steady recovery, they will not be able to match the pace set by emerging developing countries such as Brazil, India and China. </w:t>
      </w:r>
      <w:r w:rsidR="00A42E92">
        <w:rPr>
          <w:rFonts w:eastAsiaTheme="majorEastAsia"/>
        </w:rPr>
        <w:t xml:space="preserve">As predicted by </w:t>
      </w:r>
      <w:r w:rsidR="00D354DE">
        <w:rPr>
          <w:rFonts w:eastAsiaTheme="majorEastAsia"/>
        </w:rPr>
        <w:t xml:space="preserve">Goldman </w:t>
      </w:r>
      <w:r w:rsidR="00A42E92">
        <w:rPr>
          <w:rFonts w:eastAsiaTheme="majorEastAsia"/>
        </w:rPr>
        <w:t>Sachs, the BRIC countries and the Next 11 economies will spear head the recovery of the global economy and take leadership position</w:t>
      </w:r>
      <w:r w:rsidR="00D65CB8">
        <w:rPr>
          <w:rFonts w:eastAsiaTheme="majorEastAsia"/>
        </w:rPr>
        <w:t xml:space="preserve"> by 2050</w:t>
      </w:r>
      <w:r w:rsidR="00A42E92">
        <w:rPr>
          <w:rFonts w:eastAsiaTheme="majorEastAsia"/>
        </w:rPr>
        <w:t>. Catering to their rising commodity needs will be the primary focus of global mining companies.</w:t>
      </w:r>
      <w:r w:rsidR="003B48DC">
        <w:rPr>
          <w:rFonts w:eastAsiaTheme="majorEastAsia"/>
        </w:rPr>
        <w:t xml:space="preserve"> </w:t>
      </w:r>
      <w:r w:rsidR="00A42E92">
        <w:rPr>
          <w:rFonts w:eastAsiaTheme="majorEastAsia"/>
        </w:rPr>
        <w:t xml:space="preserve"> </w:t>
      </w:r>
      <w:r w:rsidR="002940B2">
        <w:rPr>
          <w:rFonts w:eastAsiaTheme="majorEastAsia"/>
        </w:rPr>
        <w:br w:type="page"/>
      </w:r>
    </w:p>
    <w:p w:rsidR="00553E03" w:rsidRDefault="00CA6415" w:rsidP="002D5F3E">
      <w:pPr>
        <w:pStyle w:val="Heading2"/>
        <w:rPr>
          <w:rFonts w:eastAsiaTheme="majorEastAsia"/>
        </w:rPr>
      </w:pPr>
      <w:bookmarkStart w:id="4" w:name="_Toc320481424"/>
      <w:r>
        <w:rPr>
          <w:rFonts w:eastAsiaTheme="majorEastAsia"/>
        </w:rPr>
        <w:lastRenderedPageBreak/>
        <w:t>Analyzing the leading c</w:t>
      </w:r>
      <w:r w:rsidR="00553E03">
        <w:rPr>
          <w:rFonts w:eastAsiaTheme="majorEastAsia"/>
        </w:rPr>
        <w:t>ompan</w:t>
      </w:r>
      <w:r>
        <w:rPr>
          <w:rFonts w:eastAsiaTheme="majorEastAsia"/>
        </w:rPr>
        <w:t>ies</w:t>
      </w:r>
      <w:bookmarkEnd w:id="4"/>
    </w:p>
    <w:p w:rsidR="00553E03" w:rsidRDefault="00DA74B8" w:rsidP="005E0D7D">
      <w:pPr>
        <w:rPr>
          <w:rFonts w:eastAsiaTheme="majorEastAsia"/>
        </w:rPr>
      </w:pPr>
      <w:r>
        <w:rPr>
          <w:rFonts w:eastAsiaTheme="majorEastAsia"/>
        </w:rPr>
        <w:t xml:space="preserve">Multinational companies tend to diversify their interests in various industry sectors. The world’s leading oil and gas company, </w:t>
      </w:r>
      <w:r w:rsidRPr="00DA74B8">
        <w:rPr>
          <w:rFonts w:eastAsiaTheme="majorEastAsia"/>
        </w:rPr>
        <w:t xml:space="preserve">Royal Dutch Shell </w:t>
      </w:r>
      <w:r>
        <w:rPr>
          <w:rFonts w:eastAsiaTheme="majorEastAsia"/>
        </w:rPr>
        <w:t xml:space="preserve">also </w:t>
      </w:r>
      <w:r w:rsidRPr="00DA74B8">
        <w:rPr>
          <w:rFonts w:eastAsiaTheme="majorEastAsia"/>
        </w:rPr>
        <w:t xml:space="preserve">occasionally sought to diversify away from its core </w:t>
      </w:r>
      <w:r>
        <w:rPr>
          <w:rFonts w:eastAsiaTheme="majorEastAsia"/>
        </w:rPr>
        <w:t xml:space="preserve">chemicals, oil and gas </w:t>
      </w:r>
      <w:r w:rsidRPr="00DA74B8">
        <w:rPr>
          <w:rFonts w:eastAsiaTheme="majorEastAsia"/>
        </w:rPr>
        <w:t>businesses</w:t>
      </w:r>
      <w:r>
        <w:rPr>
          <w:rFonts w:eastAsiaTheme="majorEastAsia"/>
        </w:rPr>
        <w:t xml:space="preserve">. It </w:t>
      </w:r>
      <w:r w:rsidRPr="00DA74B8">
        <w:rPr>
          <w:rFonts w:eastAsiaTheme="majorEastAsia"/>
        </w:rPr>
        <w:t xml:space="preserve">acquired the Dutch metals-mining company Billiton in </w:t>
      </w:r>
      <w:r>
        <w:rPr>
          <w:rFonts w:eastAsiaTheme="majorEastAsia"/>
        </w:rPr>
        <w:t xml:space="preserve">1970. </w:t>
      </w:r>
      <w:r w:rsidR="00F37B09" w:rsidRPr="00F37B09">
        <w:rPr>
          <w:rFonts w:eastAsiaTheme="majorEastAsia"/>
        </w:rPr>
        <w:t>BHP Billiton</w:t>
      </w:r>
      <w:r>
        <w:rPr>
          <w:rFonts w:eastAsiaTheme="majorEastAsia"/>
        </w:rPr>
        <w:t xml:space="preserve"> </w:t>
      </w:r>
      <w:r w:rsidR="00F37B09">
        <w:rPr>
          <w:rFonts w:eastAsiaTheme="majorEastAsia"/>
        </w:rPr>
        <w:t xml:space="preserve">is </w:t>
      </w:r>
      <w:r w:rsidR="00F92A4E">
        <w:rPr>
          <w:rFonts w:eastAsiaTheme="majorEastAsia"/>
        </w:rPr>
        <w:t xml:space="preserve">a </w:t>
      </w:r>
      <w:r w:rsidR="00F37B09">
        <w:rPr>
          <w:rFonts w:eastAsiaTheme="majorEastAsia"/>
        </w:rPr>
        <w:t xml:space="preserve">global mining corporation based in </w:t>
      </w:r>
      <w:r w:rsidR="00F37B09" w:rsidRPr="00F37B09">
        <w:rPr>
          <w:rFonts w:eastAsiaTheme="majorEastAsia"/>
        </w:rPr>
        <w:t>Melbourne, Australia.</w:t>
      </w:r>
      <w:r w:rsidR="00F37B09">
        <w:rPr>
          <w:rFonts w:eastAsiaTheme="majorEastAsia"/>
        </w:rPr>
        <w:t xml:space="preserve"> Established in 1885, the company transformed into its present</w:t>
      </w:r>
      <w:r w:rsidR="00F37B09" w:rsidRPr="00F37B09">
        <w:rPr>
          <w:rFonts w:eastAsiaTheme="majorEastAsia"/>
        </w:rPr>
        <w:t xml:space="preserve"> </w:t>
      </w:r>
      <w:r w:rsidR="00F37B09">
        <w:rPr>
          <w:rFonts w:eastAsiaTheme="majorEastAsia"/>
        </w:rPr>
        <w:t xml:space="preserve">form </w:t>
      </w:r>
      <w:r w:rsidR="00F37B09" w:rsidRPr="00F37B09">
        <w:rPr>
          <w:rFonts w:eastAsiaTheme="majorEastAsia"/>
        </w:rPr>
        <w:t xml:space="preserve">in 2001 </w:t>
      </w:r>
      <w:r w:rsidR="00F37B09">
        <w:rPr>
          <w:rFonts w:eastAsiaTheme="majorEastAsia"/>
        </w:rPr>
        <w:t xml:space="preserve">due to </w:t>
      </w:r>
      <w:r w:rsidR="00F37B09" w:rsidRPr="00F37B09">
        <w:rPr>
          <w:rFonts w:eastAsiaTheme="majorEastAsia"/>
        </w:rPr>
        <w:t xml:space="preserve">the merger of the Australian </w:t>
      </w:r>
      <w:r w:rsidR="00F37B09">
        <w:rPr>
          <w:rFonts w:eastAsiaTheme="majorEastAsia"/>
        </w:rPr>
        <w:t xml:space="preserve">company, </w:t>
      </w:r>
      <w:r w:rsidR="00F37B09" w:rsidRPr="00F37B09">
        <w:rPr>
          <w:rFonts w:eastAsiaTheme="majorEastAsia"/>
        </w:rPr>
        <w:t>Broken Hill Proprietary Company Limited (BHP) and the Billiton Plc</w:t>
      </w:r>
      <w:r w:rsidR="00F37B09">
        <w:rPr>
          <w:rFonts w:eastAsiaTheme="majorEastAsia"/>
        </w:rPr>
        <w:t xml:space="preserve"> based in the UK</w:t>
      </w:r>
      <w:r w:rsidR="00F37B09" w:rsidRPr="00F37B09">
        <w:rPr>
          <w:rFonts w:eastAsiaTheme="majorEastAsia"/>
        </w:rPr>
        <w:t>.</w:t>
      </w:r>
      <w:r w:rsidR="00F37B09">
        <w:rPr>
          <w:rFonts w:eastAsiaTheme="majorEastAsia"/>
        </w:rPr>
        <w:t xml:space="preserve"> Through this merger, </w:t>
      </w:r>
      <w:r w:rsidR="00F37B09" w:rsidRPr="00F37B09">
        <w:rPr>
          <w:rFonts w:eastAsiaTheme="majorEastAsia"/>
        </w:rPr>
        <w:t>BHP Billiton</w:t>
      </w:r>
      <w:r w:rsidR="00F37B09">
        <w:rPr>
          <w:rFonts w:eastAsiaTheme="majorEastAsia"/>
        </w:rPr>
        <w:t xml:space="preserve"> became the world’s largest company</w:t>
      </w:r>
      <w:r w:rsidR="00F92A4E">
        <w:rPr>
          <w:rFonts w:eastAsiaTheme="majorEastAsia"/>
        </w:rPr>
        <w:t>,</w:t>
      </w:r>
      <w:r w:rsidR="00F37B09">
        <w:rPr>
          <w:rFonts w:eastAsiaTheme="majorEastAsia"/>
        </w:rPr>
        <w:t xml:space="preserve"> </w:t>
      </w:r>
      <w:r w:rsidR="006D2575">
        <w:rPr>
          <w:rFonts w:eastAsiaTheme="majorEastAsia"/>
        </w:rPr>
        <w:t xml:space="preserve">which </w:t>
      </w:r>
      <w:r w:rsidR="00F92A4E">
        <w:rPr>
          <w:rFonts w:eastAsiaTheme="majorEastAsia"/>
        </w:rPr>
        <w:t>in 2011 earned</w:t>
      </w:r>
      <w:r w:rsidR="00F37B09">
        <w:rPr>
          <w:rFonts w:eastAsiaTheme="majorEastAsia"/>
        </w:rPr>
        <w:t xml:space="preserve"> annual revenues of US$</w:t>
      </w:r>
      <w:r w:rsidR="00F37B09" w:rsidRPr="00F37B09">
        <w:rPr>
          <w:rFonts w:eastAsiaTheme="majorEastAsia"/>
        </w:rPr>
        <w:t>75.46</w:t>
      </w:r>
      <w:r w:rsidR="00F37B09">
        <w:rPr>
          <w:rFonts w:eastAsiaTheme="majorEastAsia"/>
        </w:rPr>
        <w:t xml:space="preserve"> billion </w:t>
      </w:r>
      <w:r w:rsidR="006D2575">
        <w:rPr>
          <w:rFonts w:eastAsiaTheme="majorEastAsia"/>
        </w:rPr>
        <w:t>and net income of US$23.06 billion (Yahoo! Finance, 2011).</w:t>
      </w:r>
      <w:r w:rsidR="002D5F3E">
        <w:rPr>
          <w:rFonts w:eastAsiaTheme="majorEastAsia"/>
        </w:rPr>
        <w:t xml:space="preserve"> </w:t>
      </w:r>
      <w:r w:rsidR="002D5F3E" w:rsidRPr="00F37B09">
        <w:rPr>
          <w:rFonts w:eastAsiaTheme="majorEastAsia"/>
        </w:rPr>
        <w:t>BHP Billiton</w:t>
      </w:r>
      <w:r w:rsidR="002D5F3E">
        <w:rPr>
          <w:rFonts w:eastAsiaTheme="majorEastAsia"/>
        </w:rPr>
        <w:t>’s global position and industry standing can only be understood when it is compared to its com</w:t>
      </w:r>
      <w:r>
        <w:rPr>
          <w:rFonts w:eastAsiaTheme="majorEastAsia"/>
        </w:rPr>
        <w:t xml:space="preserve">petitors on various parameters such as annual </w:t>
      </w:r>
      <w:r w:rsidR="002D5F3E">
        <w:rPr>
          <w:rFonts w:eastAsiaTheme="majorEastAsia"/>
        </w:rPr>
        <w:t xml:space="preserve">revenues and profitability. </w:t>
      </w:r>
    </w:p>
    <w:p w:rsidR="002D5F3E" w:rsidRDefault="007A6C17" w:rsidP="002D5F3E">
      <w:pPr>
        <w:pStyle w:val="Heading4"/>
      </w:pPr>
      <w:r>
        <w:t xml:space="preserve">Figure </w:t>
      </w:r>
      <w:r w:rsidR="002D5F3E">
        <w:t xml:space="preserve">1: </w:t>
      </w:r>
      <w:r w:rsidR="002D5F3E" w:rsidRPr="002D5F3E">
        <w:t>Comparison</w:t>
      </w:r>
      <w:r w:rsidR="002D5F3E">
        <w:t xml:space="preserve"> of </w:t>
      </w:r>
      <w:r w:rsidR="00DA74B8">
        <w:t xml:space="preserve">various </w:t>
      </w:r>
      <w:r w:rsidR="00625B9D">
        <w:t xml:space="preserve">mining </w:t>
      </w:r>
      <w:r w:rsidR="002D5F3E">
        <w:t>industry c</w:t>
      </w:r>
      <w:r w:rsidR="002D5F3E" w:rsidRPr="002D5F3E">
        <w:t>ompetitor</w:t>
      </w:r>
      <w:r w:rsidR="002D5F3E">
        <w:t>s</w:t>
      </w:r>
    </w:p>
    <w:tbl>
      <w:tblPr>
        <w:tblStyle w:val="LightGrid-Accent11"/>
        <w:tblW w:w="8910" w:type="dxa"/>
        <w:tblInd w:w="198" w:type="dxa"/>
        <w:tblLook w:val="04A0"/>
      </w:tblPr>
      <w:tblGrid>
        <w:gridCol w:w="2340"/>
        <w:gridCol w:w="1229"/>
        <w:gridCol w:w="1580"/>
        <w:gridCol w:w="1229"/>
        <w:gridCol w:w="1229"/>
        <w:gridCol w:w="1303"/>
      </w:tblGrid>
      <w:tr w:rsidR="002D5F3E" w:rsidRPr="002D5F3E" w:rsidTr="002D5F3E">
        <w:trPr>
          <w:cnfStyle w:val="100000000000"/>
          <w:trHeight w:val="247"/>
        </w:trPr>
        <w:tc>
          <w:tcPr>
            <w:cnfStyle w:val="001000000000"/>
            <w:tcW w:w="2340" w:type="dxa"/>
            <w:noWrap/>
            <w:hideMark/>
          </w:tcPr>
          <w:p w:rsidR="002D5F3E" w:rsidRPr="002D5F3E" w:rsidRDefault="002D5F3E" w:rsidP="002D5F3E">
            <w:pPr>
              <w:widowControl/>
              <w:autoSpaceDE/>
              <w:autoSpaceDN/>
              <w:adjustRightInd/>
              <w:spacing w:after="0" w:line="240" w:lineRule="auto"/>
              <w:jc w:val="left"/>
              <w:rPr>
                <w:rFonts w:ascii="Calibri" w:hAnsi="Calibri" w:cs="Calibri"/>
                <w:color w:val="000000"/>
                <w:lang w:val="en-US"/>
              </w:rPr>
            </w:pPr>
          </w:p>
        </w:tc>
        <w:tc>
          <w:tcPr>
            <w:tcW w:w="1229" w:type="dxa"/>
            <w:noWrap/>
            <w:hideMark/>
          </w:tcPr>
          <w:p w:rsidR="002D5F3E" w:rsidRPr="002D5F3E" w:rsidRDefault="002D5F3E" w:rsidP="002D5F3E">
            <w:pPr>
              <w:pStyle w:val="Tabletext"/>
              <w:cnfStyle w:val="100000000000"/>
              <w:rPr>
                <w:lang w:val="en-US"/>
              </w:rPr>
            </w:pPr>
            <w:r w:rsidRPr="002D5F3E">
              <w:rPr>
                <w:lang w:val="en-US"/>
              </w:rPr>
              <w:t>BHP Billiton</w:t>
            </w:r>
          </w:p>
        </w:tc>
        <w:tc>
          <w:tcPr>
            <w:tcW w:w="1580" w:type="dxa"/>
            <w:noWrap/>
            <w:hideMark/>
          </w:tcPr>
          <w:p w:rsidR="002D5F3E" w:rsidRPr="002D5F3E" w:rsidRDefault="002D5F3E" w:rsidP="002D5F3E">
            <w:pPr>
              <w:pStyle w:val="Tabletext"/>
              <w:cnfStyle w:val="100000000000"/>
              <w:rPr>
                <w:lang w:val="en-US"/>
              </w:rPr>
            </w:pPr>
            <w:r w:rsidRPr="002D5F3E">
              <w:rPr>
                <w:lang w:val="en-US"/>
              </w:rPr>
              <w:t>Anglo American</w:t>
            </w:r>
          </w:p>
        </w:tc>
        <w:tc>
          <w:tcPr>
            <w:tcW w:w="1229" w:type="dxa"/>
            <w:noWrap/>
            <w:hideMark/>
          </w:tcPr>
          <w:p w:rsidR="002D5F3E" w:rsidRPr="002D5F3E" w:rsidRDefault="002D5F3E" w:rsidP="002D5F3E">
            <w:pPr>
              <w:pStyle w:val="Tabletext"/>
              <w:cnfStyle w:val="100000000000"/>
              <w:rPr>
                <w:lang w:val="en-US"/>
              </w:rPr>
            </w:pPr>
            <w:r w:rsidRPr="002D5F3E">
              <w:rPr>
                <w:lang w:val="en-US"/>
              </w:rPr>
              <w:t>Rio Tinto</w:t>
            </w:r>
          </w:p>
        </w:tc>
        <w:tc>
          <w:tcPr>
            <w:tcW w:w="1229" w:type="dxa"/>
            <w:noWrap/>
            <w:hideMark/>
          </w:tcPr>
          <w:p w:rsidR="002D5F3E" w:rsidRPr="002D5F3E" w:rsidRDefault="002D5F3E" w:rsidP="002D5F3E">
            <w:pPr>
              <w:pStyle w:val="Tabletext"/>
              <w:cnfStyle w:val="100000000000"/>
              <w:rPr>
                <w:lang w:val="en-US"/>
              </w:rPr>
            </w:pPr>
            <w:r w:rsidRPr="002D5F3E">
              <w:rPr>
                <w:lang w:val="en-US"/>
              </w:rPr>
              <w:t>Vale S.A.</w:t>
            </w:r>
          </w:p>
        </w:tc>
        <w:tc>
          <w:tcPr>
            <w:tcW w:w="1303" w:type="dxa"/>
            <w:noWrap/>
            <w:hideMark/>
          </w:tcPr>
          <w:p w:rsidR="002D5F3E" w:rsidRPr="002D5F3E" w:rsidRDefault="002D5F3E" w:rsidP="002D5F3E">
            <w:pPr>
              <w:pStyle w:val="Tabletext"/>
              <w:cnfStyle w:val="100000000000"/>
              <w:rPr>
                <w:lang w:val="en-US"/>
              </w:rPr>
            </w:pPr>
            <w:r w:rsidRPr="002D5F3E">
              <w:rPr>
                <w:lang w:val="en-US"/>
              </w:rPr>
              <w:t>Industry avg.</w:t>
            </w:r>
          </w:p>
        </w:tc>
      </w:tr>
      <w:tr w:rsidR="002D5F3E" w:rsidRPr="002D5F3E" w:rsidTr="002D5F3E">
        <w:trPr>
          <w:cnfStyle w:val="000000100000"/>
          <w:trHeight w:val="247"/>
        </w:trPr>
        <w:tc>
          <w:tcPr>
            <w:cnfStyle w:val="001000000000"/>
            <w:tcW w:w="2340" w:type="dxa"/>
            <w:noWrap/>
            <w:hideMark/>
          </w:tcPr>
          <w:p w:rsidR="002D5F3E" w:rsidRPr="002D5F3E" w:rsidRDefault="002D5F3E" w:rsidP="007A6C17">
            <w:pPr>
              <w:pStyle w:val="Tabletext"/>
              <w:rPr>
                <w:lang w:val="en-US"/>
              </w:rPr>
            </w:pPr>
            <w:r w:rsidRPr="002D5F3E">
              <w:rPr>
                <w:lang w:val="en-US"/>
              </w:rPr>
              <w:t>Market Cap (US$ billion)</w:t>
            </w:r>
          </w:p>
        </w:tc>
        <w:tc>
          <w:tcPr>
            <w:tcW w:w="1229" w:type="dxa"/>
            <w:noWrap/>
            <w:hideMark/>
          </w:tcPr>
          <w:p w:rsidR="002D5F3E" w:rsidRPr="002D5F3E" w:rsidRDefault="002D5F3E" w:rsidP="002D5F3E">
            <w:pPr>
              <w:pStyle w:val="Tabletext"/>
              <w:cnfStyle w:val="000000100000"/>
              <w:rPr>
                <w:lang w:val="en-US"/>
              </w:rPr>
            </w:pPr>
            <w:r w:rsidRPr="002D5F3E">
              <w:rPr>
                <w:lang w:val="en-US"/>
              </w:rPr>
              <w:t>190.51</w:t>
            </w:r>
          </w:p>
        </w:tc>
        <w:tc>
          <w:tcPr>
            <w:tcW w:w="1580" w:type="dxa"/>
            <w:noWrap/>
            <w:hideMark/>
          </w:tcPr>
          <w:p w:rsidR="002D5F3E" w:rsidRPr="002D5F3E" w:rsidRDefault="002D5F3E" w:rsidP="002D5F3E">
            <w:pPr>
              <w:pStyle w:val="Tabletext"/>
              <w:cnfStyle w:val="000000100000"/>
              <w:rPr>
                <w:lang w:val="en-US"/>
              </w:rPr>
            </w:pPr>
            <w:r w:rsidRPr="002D5F3E">
              <w:rPr>
                <w:lang w:val="en-US"/>
              </w:rPr>
              <w:t>47.37</w:t>
            </w:r>
          </w:p>
        </w:tc>
        <w:tc>
          <w:tcPr>
            <w:tcW w:w="1229" w:type="dxa"/>
            <w:noWrap/>
            <w:hideMark/>
          </w:tcPr>
          <w:p w:rsidR="002D5F3E" w:rsidRPr="002D5F3E" w:rsidRDefault="002D5F3E" w:rsidP="002D5F3E">
            <w:pPr>
              <w:pStyle w:val="Tabletext"/>
              <w:cnfStyle w:val="000000100000"/>
              <w:rPr>
                <w:lang w:val="en-US"/>
              </w:rPr>
            </w:pPr>
            <w:r w:rsidRPr="002D5F3E">
              <w:rPr>
                <w:lang w:val="en-US"/>
              </w:rPr>
              <w:t>99.94</w:t>
            </w:r>
          </w:p>
        </w:tc>
        <w:tc>
          <w:tcPr>
            <w:tcW w:w="1229" w:type="dxa"/>
            <w:noWrap/>
            <w:hideMark/>
          </w:tcPr>
          <w:p w:rsidR="002D5F3E" w:rsidRPr="002D5F3E" w:rsidRDefault="002D5F3E" w:rsidP="002D5F3E">
            <w:pPr>
              <w:pStyle w:val="Tabletext"/>
              <w:cnfStyle w:val="000000100000"/>
              <w:rPr>
                <w:lang w:val="en-US"/>
              </w:rPr>
            </w:pPr>
            <w:r w:rsidRPr="002D5F3E">
              <w:rPr>
                <w:lang w:val="en-US"/>
              </w:rPr>
              <w:t>116.47</w:t>
            </w:r>
          </w:p>
        </w:tc>
        <w:tc>
          <w:tcPr>
            <w:tcW w:w="1303" w:type="dxa"/>
            <w:noWrap/>
            <w:hideMark/>
          </w:tcPr>
          <w:p w:rsidR="002D5F3E" w:rsidRPr="002D5F3E" w:rsidRDefault="002D5F3E" w:rsidP="002D5F3E">
            <w:pPr>
              <w:pStyle w:val="Tabletext"/>
              <w:cnfStyle w:val="000000100000"/>
              <w:rPr>
                <w:lang w:val="en-US"/>
              </w:rPr>
            </w:pPr>
            <w:r w:rsidRPr="002D5F3E">
              <w:rPr>
                <w:lang w:val="en-US"/>
              </w:rPr>
              <w:t>20.80</w:t>
            </w:r>
          </w:p>
        </w:tc>
      </w:tr>
      <w:tr w:rsidR="002D5F3E" w:rsidRPr="002D5F3E" w:rsidTr="002D5F3E">
        <w:trPr>
          <w:cnfStyle w:val="000000010000"/>
          <w:trHeight w:val="247"/>
        </w:trPr>
        <w:tc>
          <w:tcPr>
            <w:cnfStyle w:val="001000000000"/>
            <w:tcW w:w="2340" w:type="dxa"/>
            <w:noWrap/>
            <w:hideMark/>
          </w:tcPr>
          <w:p w:rsidR="002D5F3E" w:rsidRPr="002D5F3E" w:rsidRDefault="002D5F3E" w:rsidP="002D5F3E">
            <w:pPr>
              <w:pStyle w:val="Tabletext"/>
              <w:rPr>
                <w:lang w:val="en-US"/>
              </w:rPr>
            </w:pPr>
            <w:r w:rsidRPr="002D5F3E">
              <w:rPr>
                <w:lang w:val="en-US"/>
              </w:rPr>
              <w:t>Employees No.</w:t>
            </w:r>
          </w:p>
        </w:tc>
        <w:tc>
          <w:tcPr>
            <w:tcW w:w="1229" w:type="dxa"/>
            <w:noWrap/>
            <w:hideMark/>
          </w:tcPr>
          <w:p w:rsidR="002D5F3E" w:rsidRPr="002D5F3E" w:rsidRDefault="002D5F3E" w:rsidP="002D5F3E">
            <w:pPr>
              <w:pStyle w:val="Tabletext"/>
              <w:cnfStyle w:val="000000010000"/>
              <w:rPr>
                <w:lang w:val="en-US"/>
              </w:rPr>
            </w:pPr>
            <w:r w:rsidRPr="002D5F3E">
              <w:rPr>
                <w:lang w:val="en-US"/>
              </w:rPr>
              <w:t>100,000</w:t>
            </w:r>
          </w:p>
        </w:tc>
        <w:tc>
          <w:tcPr>
            <w:tcW w:w="1580" w:type="dxa"/>
            <w:noWrap/>
            <w:hideMark/>
          </w:tcPr>
          <w:p w:rsidR="002D5F3E" w:rsidRPr="002D5F3E" w:rsidRDefault="002D5F3E" w:rsidP="002D5F3E">
            <w:pPr>
              <w:pStyle w:val="Tabletext"/>
              <w:cnfStyle w:val="000000010000"/>
              <w:rPr>
                <w:lang w:val="en-US"/>
              </w:rPr>
            </w:pPr>
            <w:r w:rsidRPr="002D5F3E">
              <w:rPr>
                <w:lang w:val="en-US"/>
              </w:rPr>
              <w:t>61,000</w:t>
            </w:r>
          </w:p>
        </w:tc>
        <w:tc>
          <w:tcPr>
            <w:tcW w:w="1229" w:type="dxa"/>
            <w:noWrap/>
            <w:hideMark/>
          </w:tcPr>
          <w:p w:rsidR="002D5F3E" w:rsidRPr="002D5F3E" w:rsidRDefault="002D5F3E" w:rsidP="002D5F3E">
            <w:pPr>
              <w:pStyle w:val="Tabletext"/>
              <w:cnfStyle w:val="000000010000"/>
              <w:rPr>
                <w:lang w:val="en-US"/>
              </w:rPr>
            </w:pPr>
            <w:r w:rsidRPr="002D5F3E">
              <w:rPr>
                <w:lang w:val="en-US"/>
              </w:rPr>
              <w:t>63,746</w:t>
            </w:r>
          </w:p>
        </w:tc>
        <w:tc>
          <w:tcPr>
            <w:tcW w:w="1229" w:type="dxa"/>
            <w:noWrap/>
            <w:hideMark/>
          </w:tcPr>
          <w:p w:rsidR="002D5F3E" w:rsidRPr="002D5F3E" w:rsidRDefault="002D5F3E" w:rsidP="002D5F3E">
            <w:pPr>
              <w:pStyle w:val="Tabletext"/>
              <w:cnfStyle w:val="000000010000"/>
              <w:rPr>
                <w:lang w:val="en-US"/>
              </w:rPr>
            </w:pPr>
            <w:r w:rsidRPr="002D5F3E">
              <w:rPr>
                <w:lang w:val="en-US"/>
              </w:rPr>
              <w:t>79,646</w:t>
            </w:r>
          </w:p>
        </w:tc>
        <w:tc>
          <w:tcPr>
            <w:tcW w:w="1303" w:type="dxa"/>
            <w:noWrap/>
            <w:hideMark/>
          </w:tcPr>
          <w:p w:rsidR="002D5F3E" w:rsidRPr="002D5F3E" w:rsidRDefault="002D5F3E" w:rsidP="002D5F3E">
            <w:pPr>
              <w:pStyle w:val="Tabletext"/>
              <w:cnfStyle w:val="000000010000"/>
              <w:rPr>
                <w:lang w:val="en-US"/>
              </w:rPr>
            </w:pPr>
            <w:r w:rsidRPr="002D5F3E">
              <w:rPr>
                <w:lang w:val="en-US"/>
              </w:rPr>
              <w:t>8500</w:t>
            </w:r>
          </w:p>
        </w:tc>
      </w:tr>
      <w:tr w:rsidR="002D5F3E" w:rsidRPr="002D5F3E" w:rsidTr="002D5F3E">
        <w:trPr>
          <w:cnfStyle w:val="000000100000"/>
          <w:trHeight w:val="247"/>
        </w:trPr>
        <w:tc>
          <w:tcPr>
            <w:cnfStyle w:val="001000000000"/>
            <w:tcW w:w="2340" w:type="dxa"/>
            <w:noWrap/>
            <w:hideMark/>
          </w:tcPr>
          <w:p w:rsidR="002D5F3E" w:rsidRPr="002D5F3E" w:rsidRDefault="002D5F3E" w:rsidP="002D5F3E">
            <w:pPr>
              <w:pStyle w:val="Tabletext"/>
              <w:rPr>
                <w:lang w:val="en-US"/>
              </w:rPr>
            </w:pPr>
            <w:r w:rsidRPr="002D5F3E">
              <w:rPr>
                <w:lang w:val="en-US"/>
              </w:rPr>
              <w:t>Qtrly Rev Growth (YoY%)</w:t>
            </w:r>
          </w:p>
        </w:tc>
        <w:tc>
          <w:tcPr>
            <w:tcW w:w="1229" w:type="dxa"/>
            <w:noWrap/>
            <w:hideMark/>
          </w:tcPr>
          <w:p w:rsidR="002D5F3E" w:rsidRPr="002D5F3E" w:rsidRDefault="002D5F3E" w:rsidP="002D5F3E">
            <w:pPr>
              <w:pStyle w:val="Tabletext"/>
              <w:cnfStyle w:val="000000100000"/>
              <w:rPr>
                <w:lang w:val="en-US"/>
              </w:rPr>
            </w:pPr>
            <w:r w:rsidRPr="002D5F3E">
              <w:rPr>
                <w:lang w:val="en-US"/>
              </w:rPr>
              <w:t>9.9%</w:t>
            </w:r>
          </w:p>
        </w:tc>
        <w:tc>
          <w:tcPr>
            <w:tcW w:w="1580" w:type="dxa"/>
            <w:noWrap/>
            <w:hideMark/>
          </w:tcPr>
          <w:p w:rsidR="002D5F3E" w:rsidRPr="002D5F3E" w:rsidRDefault="002D5F3E" w:rsidP="002D5F3E">
            <w:pPr>
              <w:pStyle w:val="Tabletext"/>
              <w:cnfStyle w:val="000000100000"/>
              <w:rPr>
                <w:lang w:val="en-US"/>
              </w:rPr>
            </w:pPr>
            <w:r w:rsidRPr="002D5F3E">
              <w:rPr>
                <w:lang w:val="en-US"/>
              </w:rPr>
              <w:t>6.0%</w:t>
            </w:r>
          </w:p>
        </w:tc>
        <w:tc>
          <w:tcPr>
            <w:tcW w:w="1229" w:type="dxa"/>
            <w:noWrap/>
            <w:hideMark/>
          </w:tcPr>
          <w:p w:rsidR="002D5F3E" w:rsidRPr="002D5F3E" w:rsidRDefault="002D5F3E" w:rsidP="002D5F3E">
            <w:pPr>
              <w:pStyle w:val="Tabletext"/>
              <w:cnfStyle w:val="000000100000"/>
              <w:rPr>
                <w:lang w:val="en-US"/>
              </w:rPr>
            </w:pPr>
            <w:r w:rsidRPr="002D5F3E">
              <w:rPr>
                <w:lang w:val="en-US"/>
              </w:rPr>
              <w:t>2.80%</w:t>
            </w:r>
          </w:p>
        </w:tc>
        <w:tc>
          <w:tcPr>
            <w:tcW w:w="1229" w:type="dxa"/>
            <w:noWrap/>
            <w:hideMark/>
          </w:tcPr>
          <w:p w:rsidR="002D5F3E" w:rsidRPr="002D5F3E" w:rsidRDefault="002D5F3E" w:rsidP="002D5F3E">
            <w:pPr>
              <w:pStyle w:val="Tabletext"/>
              <w:cnfStyle w:val="000000100000"/>
              <w:rPr>
                <w:lang w:val="en-US"/>
              </w:rPr>
            </w:pPr>
            <w:r w:rsidRPr="002D5F3E">
              <w:rPr>
                <w:lang w:val="en-US"/>
              </w:rPr>
              <w:t>2.4%</w:t>
            </w:r>
          </w:p>
        </w:tc>
        <w:tc>
          <w:tcPr>
            <w:tcW w:w="1303" w:type="dxa"/>
            <w:noWrap/>
            <w:hideMark/>
          </w:tcPr>
          <w:p w:rsidR="002D5F3E" w:rsidRPr="002D5F3E" w:rsidRDefault="002D5F3E" w:rsidP="002D5F3E">
            <w:pPr>
              <w:pStyle w:val="Tabletext"/>
              <w:cnfStyle w:val="000000100000"/>
              <w:rPr>
                <w:lang w:val="en-US"/>
              </w:rPr>
            </w:pPr>
            <w:r w:rsidRPr="002D5F3E">
              <w:rPr>
                <w:lang w:val="en-US"/>
              </w:rPr>
              <w:t>21.7%</w:t>
            </w:r>
          </w:p>
        </w:tc>
      </w:tr>
      <w:tr w:rsidR="002D5F3E" w:rsidRPr="002D5F3E" w:rsidTr="002D5F3E">
        <w:trPr>
          <w:cnfStyle w:val="000000010000"/>
          <w:trHeight w:val="247"/>
        </w:trPr>
        <w:tc>
          <w:tcPr>
            <w:cnfStyle w:val="001000000000"/>
            <w:tcW w:w="2340" w:type="dxa"/>
            <w:noWrap/>
            <w:hideMark/>
          </w:tcPr>
          <w:p w:rsidR="002D5F3E" w:rsidRPr="002D5F3E" w:rsidRDefault="002D5F3E" w:rsidP="002D5F3E">
            <w:pPr>
              <w:pStyle w:val="Tabletext"/>
              <w:rPr>
                <w:lang w:val="en-US"/>
              </w:rPr>
            </w:pPr>
            <w:r w:rsidRPr="002D5F3E">
              <w:rPr>
                <w:lang w:val="en-US"/>
              </w:rPr>
              <w:t>Revenue (US$ billion)</w:t>
            </w:r>
          </w:p>
        </w:tc>
        <w:tc>
          <w:tcPr>
            <w:tcW w:w="1229" w:type="dxa"/>
            <w:noWrap/>
            <w:hideMark/>
          </w:tcPr>
          <w:p w:rsidR="002D5F3E" w:rsidRPr="002D5F3E" w:rsidRDefault="002D5F3E" w:rsidP="002D5F3E">
            <w:pPr>
              <w:pStyle w:val="Tabletext"/>
              <w:cnfStyle w:val="000000010000"/>
              <w:rPr>
                <w:lang w:val="en-US"/>
              </w:rPr>
            </w:pPr>
            <w:r w:rsidRPr="002D5F3E">
              <w:rPr>
                <w:lang w:val="en-US"/>
              </w:rPr>
              <w:t>75.46</w:t>
            </w:r>
          </w:p>
        </w:tc>
        <w:tc>
          <w:tcPr>
            <w:tcW w:w="1580" w:type="dxa"/>
            <w:noWrap/>
            <w:hideMark/>
          </w:tcPr>
          <w:p w:rsidR="002D5F3E" w:rsidRPr="002D5F3E" w:rsidRDefault="002D5F3E" w:rsidP="002D5F3E">
            <w:pPr>
              <w:pStyle w:val="Tabletext"/>
              <w:cnfStyle w:val="000000010000"/>
              <w:rPr>
                <w:lang w:val="en-US"/>
              </w:rPr>
            </w:pPr>
            <w:r w:rsidRPr="002D5F3E">
              <w:rPr>
                <w:lang w:val="en-US"/>
              </w:rPr>
              <w:t>30.58</w:t>
            </w:r>
          </w:p>
        </w:tc>
        <w:tc>
          <w:tcPr>
            <w:tcW w:w="1229" w:type="dxa"/>
            <w:noWrap/>
            <w:hideMark/>
          </w:tcPr>
          <w:p w:rsidR="002D5F3E" w:rsidRPr="002D5F3E" w:rsidRDefault="002D5F3E" w:rsidP="002D5F3E">
            <w:pPr>
              <w:pStyle w:val="Tabletext"/>
              <w:cnfStyle w:val="000000010000"/>
              <w:rPr>
                <w:lang w:val="en-US"/>
              </w:rPr>
            </w:pPr>
            <w:r w:rsidRPr="002D5F3E">
              <w:rPr>
                <w:lang w:val="en-US"/>
              </w:rPr>
              <w:t>60.54</w:t>
            </w:r>
          </w:p>
        </w:tc>
        <w:tc>
          <w:tcPr>
            <w:tcW w:w="1229" w:type="dxa"/>
            <w:noWrap/>
            <w:hideMark/>
          </w:tcPr>
          <w:p w:rsidR="002D5F3E" w:rsidRPr="002D5F3E" w:rsidRDefault="002D5F3E" w:rsidP="002D5F3E">
            <w:pPr>
              <w:pStyle w:val="Tabletext"/>
              <w:cnfStyle w:val="000000010000"/>
              <w:rPr>
                <w:lang w:val="en-US"/>
              </w:rPr>
            </w:pPr>
            <w:r w:rsidRPr="002D5F3E">
              <w:rPr>
                <w:lang w:val="en-US"/>
              </w:rPr>
              <w:t>56.71</w:t>
            </w:r>
          </w:p>
        </w:tc>
        <w:tc>
          <w:tcPr>
            <w:tcW w:w="1303" w:type="dxa"/>
            <w:noWrap/>
            <w:hideMark/>
          </w:tcPr>
          <w:p w:rsidR="002D5F3E" w:rsidRPr="002D5F3E" w:rsidRDefault="002D5F3E" w:rsidP="002D5F3E">
            <w:pPr>
              <w:pStyle w:val="Tabletext"/>
              <w:cnfStyle w:val="000000010000"/>
              <w:rPr>
                <w:lang w:val="en-US"/>
              </w:rPr>
            </w:pPr>
            <w:r w:rsidRPr="002D5F3E">
              <w:rPr>
                <w:lang w:val="en-US"/>
              </w:rPr>
              <w:t>30.49</w:t>
            </w:r>
          </w:p>
        </w:tc>
      </w:tr>
      <w:tr w:rsidR="002D5F3E" w:rsidRPr="002D5F3E" w:rsidTr="002D5F3E">
        <w:trPr>
          <w:cnfStyle w:val="000000100000"/>
          <w:trHeight w:val="247"/>
        </w:trPr>
        <w:tc>
          <w:tcPr>
            <w:cnfStyle w:val="001000000000"/>
            <w:tcW w:w="2340" w:type="dxa"/>
            <w:noWrap/>
            <w:hideMark/>
          </w:tcPr>
          <w:p w:rsidR="002D5F3E" w:rsidRPr="002D5F3E" w:rsidRDefault="0097422A" w:rsidP="002D5F3E">
            <w:pPr>
              <w:pStyle w:val="Tabletext"/>
              <w:rPr>
                <w:lang w:val="en-US"/>
              </w:rPr>
            </w:pPr>
            <w:r>
              <w:rPr>
                <w:lang w:val="en-US"/>
              </w:rPr>
              <w:t>Gross Margin (%</w:t>
            </w:r>
            <w:r w:rsidR="002D5F3E" w:rsidRPr="002D5F3E">
              <w:rPr>
                <w:lang w:val="en-US"/>
              </w:rPr>
              <w:t>):</w:t>
            </w:r>
          </w:p>
        </w:tc>
        <w:tc>
          <w:tcPr>
            <w:tcW w:w="1229" w:type="dxa"/>
            <w:noWrap/>
            <w:hideMark/>
          </w:tcPr>
          <w:p w:rsidR="002D5F3E" w:rsidRPr="002D5F3E" w:rsidRDefault="002D5F3E" w:rsidP="002D5F3E">
            <w:pPr>
              <w:pStyle w:val="Tabletext"/>
              <w:cnfStyle w:val="000000100000"/>
              <w:rPr>
                <w:lang w:val="en-US"/>
              </w:rPr>
            </w:pPr>
            <w:r w:rsidRPr="002D5F3E">
              <w:rPr>
                <w:lang w:val="en-US"/>
              </w:rPr>
              <w:t>78.26%</w:t>
            </w:r>
          </w:p>
        </w:tc>
        <w:tc>
          <w:tcPr>
            <w:tcW w:w="1580" w:type="dxa"/>
            <w:noWrap/>
            <w:hideMark/>
          </w:tcPr>
          <w:p w:rsidR="002D5F3E" w:rsidRPr="002D5F3E" w:rsidRDefault="002D5F3E" w:rsidP="002D5F3E">
            <w:pPr>
              <w:pStyle w:val="Tabletext"/>
              <w:cnfStyle w:val="000000100000"/>
              <w:rPr>
                <w:lang w:val="en-US"/>
              </w:rPr>
            </w:pPr>
            <w:r w:rsidRPr="002D5F3E">
              <w:rPr>
                <w:lang w:val="en-US"/>
              </w:rPr>
              <w:t>31.40%</w:t>
            </w:r>
          </w:p>
        </w:tc>
        <w:tc>
          <w:tcPr>
            <w:tcW w:w="1229" w:type="dxa"/>
            <w:noWrap/>
            <w:hideMark/>
          </w:tcPr>
          <w:p w:rsidR="002D5F3E" w:rsidRPr="002D5F3E" w:rsidRDefault="002D5F3E" w:rsidP="002D5F3E">
            <w:pPr>
              <w:pStyle w:val="Tabletext"/>
              <w:cnfStyle w:val="000000100000"/>
              <w:rPr>
                <w:lang w:val="en-US"/>
              </w:rPr>
            </w:pPr>
            <w:r w:rsidRPr="002D5F3E">
              <w:rPr>
                <w:lang w:val="en-US"/>
              </w:rPr>
              <w:t>40.10%</w:t>
            </w:r>
          </w:p>
        </w:tc>
        <w:tc>
          <w:tcPr>
            <w:tcW w:w="1229" w:type="dxa"/>
            <w:noWrap/>
            <w:hideMark/>
          </w:tcPr>
          <w:p w:rsidR="002D5F3E" w:rsidRPr="002D5F3E" w:rsidRDefault="002D5F3E" w:rsidP="002D5F3E">
            <w:pPr>
              <w:pStyle w:val="Tabletext"/>
              <w:cnfStyle w:val="000000100000"/>
              <w:rPr>
                <w:lang w:val="en-US"/>
              </w:rPr>
            </w:pPr>
            <w:r w:rsidRPr="002D5F3E">
              <w:rPr>
                <w:lang w:val="en-US"/>
              </w:rPr>
              <w:t>60.76%</w:t>
            </w:r>
          </w:p>
        </w:tc>
        <w:tc>
          <w:tcPr>
            <w:tcW w:w="1303" w:type="dxa"/>
            <w:noWrap/>
            <w:hideMark/>
          </w:tcPr>
          <w:p w:rsidR="002D5F3E" w:rsidRPr="002D5F3E" w:rsidRDefault="002D5F3E" w:rsidP="002D5F3E">
            <w:pPr>
              <w:pStyle w:val="Tabletext"/>
              <w:cnfStyle w:val="000000100000"/>
              <w:rPr>
                <w:lang w:val="en-US"/>
              </w:rPr>
            </w:pPr>
            <w:r w:rsidRPr="002D5F3E">
              <w:rPr>
                <w:lang w:val="en-US"/>
              </w:rPr>
              <w:t>43.97%</w:t>
            </w:r>
          </w:p>
        </w:tc>
      </w:tr>
      <w:tr w:rsidR="002D5F3E" w:rsidRPr="002D5F3E" w:rsidTr="002D5F3E">
        <w:trPr>
          <w:cnfStyle w:val="000000010000"/>
          <w:trHeight w:val="247"/>
        </w:trPr>
        <w:tc>
          <w:tcPr>
            <w:cnfStyle w:val="001000000000"/>
            <w:tcW w:w="2340" w:type="dxa"/>
            <w:noWrap/>
            <w:hideMark/>
          </w:tcPr>
          <w:p w:rsidR="002D5F3E" w:rsidRPr="002D5F3E" w:rsidRDefault="007A6C17" w:rsidP="002D5F3E">
            <w:pPr>
              <w:pStyle w:val="Tabletext"/>
              <w:rPr>
                <w:lang w:val="en-US"/>
              </w:rPr>
            </w:pPr>
            <w:r>
              <w:rPr>
                <w:lang w:val="en-US"/>
              </w:rPr>
              <w:t>EBITDA</w:t>
            </w:r>
            <w:r w:rsidR="002D5F3E" w:rsidRPr="002D5F3E">
              <w:rPr>
                <w:lang w:val="en-US"/>
              </w:rPr>
              <w:t xml:space="preserve"> (US$ billion)</w:t>
            </w:r>
          </w:p>
        </w:tc>
        <w:tc>
          <w:tcPr>
            <w:tcW w:w="1229" w:type="dxa"/>
            <w:noWrap/>
            <w:hideMark/>
          </w:tcPr>
          <w:p w:rsidR="002D5F3E" w:rsidRPr="002D5F3E" w:rsidRDefault="002D5F3E" w:rsidP="002D5F3E">
            <w:pPr>
              <w:pStyle w:val="Tabletext"/>
              <w:cnfStyle w:val="000000010000"/>
              <w:rPr>
                <w:lang w:val="en-US"/>
              </w:rPr>
            </w:pPr>
            <w:r w:rsidRPr="002D5F3E">
              <w:rPr>
                <w:lang w:val="en-US"/>
              </w:rPr>
              <w:t>39.52</w:t>
            </w:r>
          </w:p>
        </w:tc>
        <w:tc>
          <w:tcPr>
            <w:tcW w:w="1580" w:type="dxa"/>
            <w:noWrap/>
            <w:hideMark/>
          </w:tcPr>
          <w:p w:rsidR="002D5F3E" w:rsidRPr="002D5F3E" w:rsidRDefault="002D5F3E" w:rsidP="002D5F3E">
            <w:pPr>
              <w:pStyle w:val="Tabletext"/>
              <w:cnfStyle w:val="000000010000"/>
              <w:rPr>
                <w:lang w:val="en-US"/>
              </w:rPr>
            </w:pPr>
            <w:r w:rsidRPr="002D5F3E">
              <w:rPr>
                <w:lang w:val="en-US"/>
              </w:rPr>
              <w:t>11.48</w:t>
            </w:r>
          </w:p>
        </w:tc>
        <w:tc>
          <w:tcPr>
            <w:tcW w:w="1229" w:type="dxa"/>
            <w:noWrap/>
            <w:hideMark/>
          </w:tcPr>
          <w:p w:rsidR="002D5F3E" w:rsidRPr="002D5F3E" w:rsidRDefault="002D5F3E" w:rsidP="002D5F3E">
            <w:pPr>
              <w:pStyle w:val="Tabletext"/>
              <w:cnfStyle w:val="000000010000"/>
              <w:rPr>
                <w:lang w:val="en-US"/>
              </w:rPr>
            </w:pPr>
            <w:r w:rsidRPr="002D5F3E">
              <w:rPr>
                <w:lang w:val="en-US"/>
              </w:rPr>
              <w:t>27.28</w:t>
            </w:r>
          </w:p>
        </w:tc>
        <w:tc>
          <w:tcPr>
            <w:tcW w:w="1229" w:type="dxa"/>
            <w:noWrap/>
            <w:hideMark/>
          </w:tcPr>
          <w:p w:rsidR="002D5F3E" w:rsidRPr="002D5F3E" w:rsidRDefault="002D5F3E" w:rsidP="002D5F3E">
            <w:pPr>
              <w:pStyle w:val="Tabletext"/>
              <w:cnfStyle w:val="000000010000"/>
              <w:rPr>
                <w:lang w:val="en-US"/>
              </w:rPr>
            </w:pPr>
            <w:r w:rsidRPr="002D5F3E">
              <w:rPr>
                <w:lang w:val="en-US"/>
              </w:rPr>
              <w:t>31.91</w:t>
            </w:r>
          </w:p>
        </w:tc>
        <w:tc>
          <w:tcPr>
            <w:tcW w:w="1303" w:type="dxa"/>
            <w:noWrap/>
            <w:hideMark/>
          </w:tcPr>
          <w:p w:rsidR="002D5F3E" w:rsidRPr="002D5F3E" w:rsidRDefault="002D5F3E" w:rsidP="002D5F3E">
            <w:pPr>
              <w:pStyle w:val="Tabletext"/>
              <w:cnfStyle w:val="000000010000"/>
              <w:rPr>
                <w:lang w:val="en-US"/>
              </w:rPr>
            </w:pPr>
            <w:r w:rsidRPr="002D5F3E">
              <w:rPr>
                <w:lang w:val="en-US"/>
              </w:rPr>
              <w:t>-1.14</w:t>
            </w:r>
          </w:p>
        </w:tc>
      </w:tr>
      <w:tr w:rsidR="002D5F3E" w:rsidRPr="002D5F3E" w:rsidTr="002D5F3E">
        <w:trPr>
          <w:cnfStyle w:val="000000100000"/>
          <w:trHeight w:val="247"/>
        </w:trPr>
        <w:tc>
          <w:tcPr>
            <w:cnfStyle w:val="001000000000"/>
            <w:tcW w:w="2340" w:type="dxa"/>
            <w:noWrap/>
            <w:hideMark/>
          </w:tcPr>
          <w:p w:rsidR="002D5F3E" w:rsidRPr="002D5F3E" w:rsidRDefault="002D5F3E" w:rsidP="002D5F3E">
            <w:pPr>
              <w:pStyle w:val="Tabletext"/>
              <w:rPr>
                <w:lang w:val="en-US"/>
              </w:rPr>
            </w:pPr>
            <w:r w:rsidRPr="002D5F3E">
              <w:rPr>
                <w:lang w:val="en-US"/>
              </w:rPr>
              <w:t>Operating Margin (%)</w:t>
            </w:r>
          </w:p>
        </w:tc>
        <w:tc>
          <w:tcPr>
            <w:tcW w:w="1229" w:type="dxa"/>
            <w:noWrap/>
            <w:hideMark/>
          </w:tcPr>
          <w:p w:rsidR="002D5F3E" w:rsidRPr="002D5F3E" w:rsidRDefault="002D5F3E" w:rsidP="002D5F3E">
            <w:pPr>
              <w:pStyle w:val="Tabletext"/>
              <w:cnfStyle w:val="000000100000"/>
              <w:rPr>
                <w:lang w:val="en-US"/>
              </w:rPr>
            </w:pPr>
            <w:r w:rsidRPr="002D5F3E">
              <w:rPr>
                <w:lang w:val="en-US"/>
              </w:rPr>
              <w:t>44.89%</w:t>
            </w:r>
          </w:p>
        </w:tc>
        <w:tc>
          <w:tcPr>
            <w:tcW w:w="1580" w:type="dxa"/>
            <w:noWrap/>
            <w:hideMark/>
          </w:tcPr>
          <w:p w:rsidR="002D5F3E" w:rsidRPr="002D5F3E" w:rsidRDefault="002D5F3E" w:rsidP="002D5F3E">
            <w:pPr>
              <w:pStyle w:val="Tabletext"/>
              <w:cnfStyle w:val="000000100000"/>
              <w:rPr>
                <w:lang w:val="en-US"/>
              </w:rPr>
            </w:pPr>
            <w:r w:rsidRPr="002D5F3E">
              <w:rPr>
                <w:lang w:val="en-US"/>
              </w:rPr>
              <w:t>31.12%</w:t>
            </w:r>
          </w:p>
        </w:tc>
        <w:tc>
          <w:tcPr>
            <w:tcW w:w="1229" w:type="dxa"/>
            <w:noWrap/>
            <w:hideMark/>
          </w:tcPr>
          <w:p w:rsidR="002D5F3E" w:rsidRPr="002D5F3E" w:rsidRDefault="002D5F3E" w:rsidP="002D5F3E">
            <w:pPr>
              <w:pStyle w:val="Tabletext"/>
              <w:cnfStyle w:val="000000100000"/>
              <w:rPr>
                <w:lang w:val="en-US"/>
              </w:rPr>
            </w:pPr>
            <w:r w:rsidRPr="002D5F3E">
              <w:rPr>
                <w:lang w:val="en-US"/>
              </w:rPr>
              <w:t>37.73%</w:t>
            </w:r>
          </w:p>
        </w:tc>
        <w:tc>
          <w:tcPr>
            <w:tcW w:w="1229" w:type="dxa"/>
            <w:noWrap/>
            <w:hideMark/>
          </w:tcPr>
          <w:p w:rsidR="002D5F3E" w:rsidRPr="002D5F3E" w:rsidRDefault="002D5F3E" w:rsidP="002D5F3E">
            <w:pPr>
              <w:pStyle w:val="Tabletext"/>
              <w:cnfStyle w:val="000000100000"/>
              <w:rPr>
                <w:lang w:val="en-US"/>
              </w:rPr>
            </w:pPr>
            <w:r w:rsidRPr="002D5F3E">
              <w:rPr>
                <w:lang w:val="en-US"/>
              </w:rPr>
              <w:t>49.54%</w:t>
            </w:r>
          </w:p>
        </w:tc>
        <w:tc>
          <w:tcPr>
            <w:tcW w:w="1303" w:type="dxa"/>
            <w:noWrap/>
            <w:hideMark/>
          </w:tcPr>
          <w:p w:rsidR="002D5F3E" w:rsidRPr="002D5F3E" w:rsidRDefault="002D5F3E" w:rsidP="002D5F3E">
            <w:pPr>
              <w:pStyle w:val="Tabletext"/>
              <w:cnfStyle w:val="000000100000"/>
              <w:rPr>
                <w:lang w:val="en-US"/>
              </w:rPr>
            </w:pPr>
            <w:r w:rsidRPr="002D5F3E">
              <w:rPr>
                <w:lang w:val="en-US"/>
              </w:rPr>
              <w:t>3.69%</w:t>
            </w:r>
          </w:p>
        </w:tc>
      </w:tr>
      <w:tr w:rsidR="002D5F3E" w:rsidRPr="002D5F3E" w:rsidTr="002D5F3E">
        <w:trPr>
          <w:cnfStyle w:val="000000010000"/>
          <w:trHeight w:val="247"/>
        </w:trPr>
        <w:tc>
          <w:tcPr>
            <w:cnfStyle w:val="001000000000"/>
            <w:tcW w:w="2340" w:type="dxa"/>
            <w:noWrap/>
            <w:hideMark/>
          </w:tcPr>
          <w:p w:rsidR="002D5F3E" w:rsidRPr="002D5F3E" w:rsidRDefault="002D5F3E" w:rsidP="002D5F3E">
            <w:pPr>
              <w:pStyle w:val="Tabletext"/>
              <w:rPr>
                <w:lang w:val="en-US"/>
              </w:rPr>
            </w:pPr>
            <w:r w:rsidRPr="002D5F3E">
              <w:rPr>
                <w:lang w:val="en-US"/>
              </w:rPr>
              <w:t>Net Income (US$ billion)</w:t>
            </w:r>
          </w:p>
        </w:tc>
        <w:tc>
          <w:tcPr>
            <w:tcW w:w="1229" w:type="dxa"/>
            <w:noWrap/>
            <w:hideMark/>
          </w:tcPr>
          <w:p w:rsidR="002D5F3E" w:rsidRPr="002D5F3E" w:rsidRDefault="002D5F3E" w:rsidP="002D5F3E">
            <w:pPr>
              <w:pStyle w:val="Tabletext"/>
              <w:cnfStyle w:val="000000010000"/>
              <w:rPr>
                <w:lang w:val="en-US"/>
              </w:rPr>
            </w:pPr>
            <w:r w:rsidRPr="002D5F3E">
              <w:rPr>
                <w:lang w:val="en-US"/>
              </w:rPr>
              <w:t>23.06</w:t>
            </w:r>
          </w:p>
        </w:tc>
        <w:tc>
          <w:tcPr>
            <w:tcW w:w="1580" w:type="dxa"/>
            <w:noWrap/>
            <w:hideMark/>
          </w:tcPr>
          <w:p w:rsidR="002D5F3E" w:rsidRPr="002D5F3E" w:rsidRDefault="002D5F3E" w:rsidP="002D5F3E">
            <w:pPr>
              <w:pStyle w:val="Tabletext"/>
              <w:cnfStyle w:val="000000010000"/>
              <w:rPr>
                <w:lang w:val="en-US"/>
              </w:rPr>
            </w:pPr>
            <w:r w:rsidRPr="002D5F3E">
              <w:rPr>
                <w:lang w:val="en-US"/>
              </w:rPr>
              <w:t>6.17</w:t>
            </w:r>
          </w:p>
        </w:tc>
        <w:tc>
          <w:tcPr>
            <w:tcW w:w="1229" w:type="dxa"/>
            <w:noWrap/>
            <w:hideMark/>
          </w:tcPr>
          <w:p w:rsidR="002D5F3E" w:rsidRPr="002D5F3E" w:rsidRDefault="002D5F3E" w:rsidP="002D5F3E">
            <w:pPr>
              <w:pStyle w:val="Tabletext"/>
              <w:cnfStyle w:val="000000010000"/>
              <w:rPr>
                <w:lang w:val="en-US"/>
              </w:rPr>
            </w:pPr>
            <w:r w:rsidRPr="002D5F3E">
              <w:rPr>
                <w:lang w:val="en-US"/>
              </w:rPr>
              <w:t>5.83</w:t>
            </w:r>
          </w:p>
        </w:tc>
        <w:tc>
          <w:tcPr>
            <w:tcW w:w="1229" w:type="dxa"/>
            <w:noWrap/>
            <w:hideMark/>
          </w:tcPr>
          <w:p w:rsidR="002D5F3E" w:rsidRPr="002D5F3E" w:rsidRDefault="002D5F3E" w:rsidP="002D5F3E">
            <w:pPr>
              <w:pStyle w:val="Tabletext"/>
              <w:cnfStyle w:val="000000010000"/>
              <w:rPr>
                <w:lang w:val="en-US"/>
              </w:rPr>
            </w:pPr>
            <w:r w:rsidRPr="002D5F3E">
              <w:rPr>
                <w:lang w:val="en-US"/>
              </w:rPr>
              <w:t>20.78</w:t>
            </w:r>
          </w:p>
        </w:tc>
        <w:tc>
          <w:tcPr>
            <w:tcW w:w="1303" w:type="dxa"/>
            <w:noWrap/>
            <w:hideMark/>
          </w:tcPr>
          <w:p w:rsidR="002D5F3E" w:rsidRPr="002D5F3E" w:rsidRDefault="002D5F3E" w:rsidP="002D5F3E">
            <w:pPr>
              <w:pStyle w:val="Tabletext"/>
              <w:cnfStyle w:val="000000010000"/>
              <w:rPr>
                <w:lang w:val="en-US"/>
              </w:rPr>
            </w:pPr>
            <w:r w:rsidRPr="002D5F3E">
              <w:rPr>
                <w:lang w:val="en-US"/>
              </w:rPr>
              <w:t>N/A</w:t>
            </w:r>
          </w:p>
        </w:tc>
      </w:tr>
    </w:tbl>
    <w:p w:rsidR="002D5F3E" w:rsidRDefault="007A6C17" w:rsidP="007A6C17">
      <w:pPr>
        <w:pStyle w:val="NoSpacing"/>
        <w:ind w:left="90"/>
        <w:rPr>
          <w:rFonts w:eastAsiaTheme="majorEastAsia"/>
        </w:rPr>
      </w:pPr>
      <w:r w:rsidRPr="0048219E">
        <w:t xml:space="preserve">Source: </w:t>
      </w:r>
      <w:r w:rsidRPr="007A6C17">
        <w:t>Yahoo! Finance, 2011</w:t>
      </w:r>
    </w:p>
    <w:p w:rsidR="007A6C17" w:rsidRDefault="007A6C17" w:rsidP="00610EDC">
      <w:pPr>
        <w:pStyle w:val="NoSpacing"/>
        <w:rPr>
          <w:rFonts w:eastAsiaTheme="majorEastAsia"/>
        </w:rPr>
      </w:pPr>
    </w:p>
    <w:p w:rsidR="00D65CB8" w:rsidRDefault="00610EDC" w:rsidP="005E0D7D">
      <w:pPr>
        <w:rPr>
          <w:rFonts w:eastAsiaTheme="majorEastAsia"/>
        </w:rPr>
      </w:pPr>
      <w:r>
        <w:rPr>
          <w:rFonts w:eastAsiaTheme="majorEastAsia"/>
        </w:rPr>
        <w:t>Figure</w:t>
      </w:r>
      <w:r w:rsidR="007A6C17">
        <w:rPr>
          <w:rFonts w:eastAsiaTheme="majorEastAsia"/>
        </w:rPr>
        <w:t xml:space="preserve"> </w:t>
      </w:r>
      <w:r>
        <w:rPr>
          <w:rFonts w:eastAsiaTheme="majorEastAsia"/>
        </w:rPr>
        <w:t xml:space="preserve">1 depicts </w:t>
      </w:r>
      <w:r w:rsidR="00DA74B8">
        <w:rPr>
          <w:rFonts w:eastAsiaTheme="majorEastAsia"/>
        </w:rPr>
        <w:t xml:space="preserve">the comparison of </w:t>
      </w:r>
      <w:r w:rsidR="00DA74B8" w:rsidRPr="002940B2">
        <w:t>BHP Billiton</w:t>
      </w:r>
      <w:r w:rsidR="00DA74B8">
        <w:t xml:space="preserve">, </w:t>
      </w:r>
      <w:r w:rsidR="00DA74B8" w:rsidRPr="00CA6415">
        <w:t>Anglo American</w:t>
      </w:r>
      <w:r w:rsidR="00DA74B8">
        <w:t xml:space="preserve">, </w:t>
      </w:r>
      <w:r w:rsidR="00DA74B8" w:rsidRPr="00CA6415">
        <w:t>Rio Tinto</w:t>
      </w:r>
      <w:r w:rsidR="00DA74B8">
        <w:t xml:space="preserve"> and </w:t>
      </w:r>
      <w:r w:rsidR="00DA74B8" w:rsidRPr="00CA6415">
        <w:t>Vale S.A.</w:t>
      </w:r>
      <w:r w:rsidR="00DA74B8">
        <w:t xml:space="preserve"> </w:t>
      </w:r>
      <w:r w:rsidR="007A6C17" w:rsidRPr="00F37B09">
        <w:rPr>
          <w:rFonts w:eastAsiaTheme="majorEastAsia"/>
        </w:rPr>
        <w:t>BHP Billiton</w:t>
      </w:r>
      <w:r w:rsidR="007A6C17">
        <w:rPr>
          <w:rFonts w:eastAsiaTheme="majorEastAsia"/>
        </w:rPr>
        <w:t xml:space="preserve"> </w:t>
      </w:r>
      <w:r w:rsidR="00DA74B8">
        <w:rPr>
          <w:rFonts w:eastAsiaTheme="majorEastAsia"/>
        </w:rPr>
        <w:t xml:space="preserve">has leadership position </w:t>
      </w:r>
      <w:r w:rsidR="007A6C17">
        <w:rPr>
          <w:rFonts w:eastAsiaTheme="majorEastAsia"/>
        </w:rPr>
        <w:t xml:space="preserve">in almost all comparable parameters. In terms of market capitalisation, number of employees, revenue, gross profit margin and EBITDA, the company is way ahead of its competitors and industry average as well. </w:t>
      </w:r>
      <w:r w:rsidR="00DA74B8" w:rsidRPr="00CA6415">
        <w:t>Vale S.A.</w:t>
      </w:r>
      <w:r w:rsidR="00DA74B8">
        <w:t xml:space="preserve"> </w:t>
      </w:r>
      <w:r w:rsidR="00D65CB8">
        <w:t>comes close</w:t>
      </w:r>
      <w:r w:rsidR="00DA74B8">
        <w:t xml:space="preserve"> </w:t>
      </w:r>
      <w:r w:rsidR="007A6C17">
        <w:rPr>
          <w:rFonts w:eastAsiaTheme="majorEastAsia"/>
        </w:rPr>
        <w:t xml:space="preserve">in </w:t>
      </w:r>
      <w:r w:rsidR="00D65CB8">
        <w:rPr>
          <w:rFonts w:eastAsiaTheme="majorEastAsia"/>
        </w:rPr>
        <w:t xml:space="preserve">a </w:t>
      </w:r>
      <w:r w:rsidR="007A6C17">
        <w:rPr>
          <w:rFonts w:eastAsiaTheme="majorEastAsia"/>
        </w:rPr>
        <w:t xml:space="preserve">few parameters such as revenue growth, </w:t>
      </w:r>
      <w:r w:rsidR="00D65CB8">
        <w:rPr>
          <w:rFonts w:eastAsiaTheme="majorEastAsia"/>
        </w:rPr>
        <w:t>operating margin and net income</w:t>
      </w:r>
      <w:r w:rsidR="007A6C17">
        <w:rPr>
          <w:rFonts w:eastAsiaTheme="majorEastAsia"/>
        </w:rPr>
        <w:t>. It is worth mentioning that</w:t>
      </w:r>
      <w:r>
        <w:rPr>
          <w:rFonts w:eastAsiaTheme="majorEastAsia"/>
        </w:rPr>
        <w:t xml:space="preserve"> despite</w:t>
      </w:r>
      <w:r w:rsidR="007A6C17">
        <w:rPr>
          <w:rFonts w:eastAsiaTheme="majorEastAsia"/>
        </w:rPr>
        <w:t xml:space="preserve"> being a Fortune 500 global company</w:t>
      </w:r>
      <w:r>
        <w:rPr>
          <w:rFonts w:eastAsiaTheme="majorEastAsia"/>
        </w:rPr>
        <w:t>,</w:t>
      </w:r>
      <w:r w:rsidR="007A6C17">
        <w:rPr>
          <w:rFonts w:eastAsiaTheme="majorEastAsia"/>
        </w:rPr>
        <w:t xml:space="preserve"> </w:t>
      </w:r>
      <w:r w:rsidR="00D65CB8" w:rsidRPr="002940B2">
        <w:t>Billiton</w:t>
      </w:r>
      <w:r w:rsidR="00D65CB8">
        <w:rPr>
          <w:rFonts w:eastAsiaTheme="majorEastAsia"/>
        </w:rPr>
        <w:t xml:space="preserve"> </w:t>
      </w:r>
      <w:r w:rsidR="007A6C17">
        <w:rPr>
          <w:rFonts w:eastAsiaTheme="majorEastAsia"/>
        </w:rPr>
        <w:t xml:space="preserve">has </w:t>
      </w:r>
      <w:r w:rsidR="00613EA7">
        <w:rPr>
          <w:rFonts w:eastAsiaTheme="majorEastAsia"/>
        </w:rPr>
        <w:t xml:space="preserve">maintained gross profit margin of 78% and operating margin of 45%, which is remarkable. </w:t>
      </w:r>
    </w:p>
    <w:p w:rsidR="007A6C17" w:rsidRDefault="007A6C17" w:rsidP="007A6C17">
      <w:pPr>
        <w:pStyle w:val="Heading4"/>
      </w:pPr>
      <w:r>
        <w:lastRenderedPageBreak/>
        <w:t>Figure 2: Visual c</w:t>
      </w:r>
      <w:r w:rsidRPr="002D5F3E">
        <w:t>omparison</w:t>
      </w:r>
      <w:r>
        <w:t xml:space="preserve"> of </w:t>
      </w:r>
      <w:r w:rsidR="003B48DC">
        <w:t xml:space="preserve">largest four </w:t>
      </w:r>
      <w:r w:rsidR="00DA74B8">
        <w:t>global mining companies</w:t>
      </w:r>
    </w:p>
    <w:p w:rsidR="00613EA7" w:rsidRDefault="002D5F3E" w:rsidP="00613EA7">
      <w:pPr>
        <w:pStyle w:val="NoSpacing"/>
      </w:pPr>
      <w:r w:rsidRPr="002D5F3E">
        <w:rPr>
          <w:rFonts w:eastAsiaTheme="majorEastAsia"/>
          <w:noProof/>
          <w:lang w:val="en-IN" w:eastAsia="en-IN"/>
        </w:rPr>
        <w:drawing>
          <wp:inline distT="0" distB="0" distL="0" distR="0">
            <wp:extent cx="5732145" cy="3011848"/>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2145" cy="3011848"/>
                    </a:xfrm>
                    <a:prstGeom prst="rect">
                      <a:avLst/>
                    </a:prstGeom>
                    <a:noFill/>
                    <a:ln w="9525">
                      <a:noFill/>
                      <a:miter lim="800000"/>
                      <a:headEnd/>
                      <a:tailEnd/>
                    </a:ln>
                  </pic:spPr>
                </pic:pic>
              </a:graphicData>
            </a:graphic>
          </wp:inline>
        </w:drawing>
      </w:r>
      <w:r w:rsidR="00613EA7" w:rsidRPr="0048219E">
        <w:t xml:space="preserve">Source: </w:t>
      </w:r>
      <w:r w:rsidR="00613EA7" w:rsidRPr="007A6C17">
        <w:t>Yahoo! Finance, 2011</w:t>
      </w:r>
    </w:p>
    <w:p w:rsidR="003B48DC" w:rsidRDefault="003B48DC" w:rsidP="00613EA7">
      <w:pPr>
        <w:pStyle w:val="NoSpacing"/>
        <w:rPr>
          <w:rFonts w:eastAsiaTheme="majorEastAsia"/>
        </w:rPr>
      </w:pPr>
    </w:p>
    <w:p w:rsidR="00213455" w:rsidRDefault="00213455" w:rsidP="00213455">
      <w:pPr>
        <w:rPr>
          <w:rFonts w:eastAsiaTheme="majorEastAsia"/>
        </w:rPr>
      </w:pPr>
      <w:r>
        <w:rPr>
          <w:rFonts w:eastAsiaTheme="majorEastAsia"/>
        </w:rPr>
        <w:t xml:space="preserve">Figure 2 visually presents the comparable position of the top four leading industry players. It is clear that both in terms of annual revenue and number of employees, </w:t>
      </w:r>
      <w:r w:rsidRPr="00F37B09">
        <w:rPr>
          <w:rFonts w:eastAsiaTheme="majorEastAsia"/>
        </w:rPr>
        <w:t>BHP Billiton</w:t>
      </w:r>
      <w:r>
        <w:rPr>
          <w:rFonts w:eastAsiaTheme="majorEastAsia"/>
        </w:rPr>
        <w:t xml:space="preserve"> has a clear lead over its peers. Only in terms of net income, </w:t>
      </w:r>
      <w:r w:rsidRPr="00CA6415">
        <w:t>Vale S.A.</w:t>
      </w:r>
      <w:r>
        <w:t xml:space="preserve"> comes close to match the performance of </w:t>
      </w:r>
      <w:r w:rsidRPr="00F37B09">
        <w:rPr>
          <w:rFonts w:eastAsiaTheme="majorEastAsia"/>
        </w:rPr>
        <w:t>BHP Billiton</w:t>
      </w:r>
      <w:r>
        <w:rPr>
          <w:rFonts w:eastAsiaTheme="majorEastAsia"/>
        </w:rPr>
        <w:t>.</w:t>
      </w:r>
      <w:r w:rsidR="00A75BC0">
        <w:rPr>
          <w:rFonts w:eastAsiaTheme="majorEastAsia"/>
        </w:rPr>
        <w:t>.....</w:t>
      </w:r>
    </w:p>
    <w:p w:rsidR="001865D5" w:rsidRDefault="001865D5" w:rsidP="00213455">
      <w:pPr>
        <w:rPr>
          <w:rFonts w:eastAsiaTheme="majorEastAsia"/>
        </w:rPr>
      </w:pPr>
    </w:p>
    <w:p w:rsidR="001865D5" w:rsidRPr="001865D5" w:rsidRDefault="001865D5" w:rsidP="00213455">
      <w:pPr>
        <w:rPr>
          <w:rFonts w:eastAsiaTheme="majorEastAsia"/>
          <w:sz w:val="36"/>
          <w:szCs w:val="36"/>
        </w:rPr>
      </w:pPr>
    </w:p>
    <w:bookmarkEnd w:id="3"/>
    <w:p w:rsidR="001865D5" w:rsidRPr="001865D5" w:rsidRDefault="001865D5" w:rsidP="001865D5">
      <w:pPr>
        <w:rPr>
          <w:rFonts w:ascii="Times New Roman" w:hAnsi="Times New Roman" w:cs="Times New Roman"/>
        </w:rPr>
      </w:pPr>
      <w:r w:rsidRPr="001865D5">
        <w:rPr>
          <w:rFonts w:ascii="Times New Roman" w:hAnsi="Times New Roman" w:cs="Times New Roman"/>
        </w:rPr>
        <w:t>To get the full project, please buy the Assignment by using this Link</w:t>
      </w:r>
    </w:p>
    <w:p w:rsidR="001865D5" w:rsidRPr="001865D5" w:rsidRDefault="00B55137" w:rsidP="001865D5">
      <w:pPr>
        <w:spacing w:line="480" w:lineRule="auto"/>
        <w:rPr>
          <w:rFonts w:ascii="Times New Roman" w:hAnsi="Times New Roman" w:cs="Times New Roman"/>
        </w:rPr>
      </w:pPr>
      <w:hyperlink r:id="rId9" w:tgtFrame="_blank" w:history="1">
        <w:r w:rsidR="001865D5" w:rsidRPr="001865D5">
          <w:rPr>
            <w:rStyle w:val="Hyperlink"/>
            <w:rFonts w:ascii="Times New Roman" w:hAnsi="Times New Roman" w:cs="Times New Roman"/>
          </w:rPr>
          <w:t>http://sampleassignment.com/pay-now.html</w:t>
        </w:r>
      </w:hyperlink>
    </w:p>
    <w:p w:rsidR="001865D5" w:rsidRPr="001865D5" w:rsidRDefault="00025DE4" w:rsidP="001865D5">
      <w:pPr>
        <w:spacing w:line="480" w:lineRule="auto"/>
        <w:rPr>
          <w:rFonts w:ascii="Times New Roman" w:hAnsi="Times New Roman" w:cs="Times New Roman"/>
          <w:b/>
        </w:rPr>
      </w:pPr>
      <w:r>
        <w:rPr>
          <w:rFonts w:ascii="Times New Roman" w:hAnsi="Times New Roman" w:cs="Times New Roman"/>
        </w:rPr>
        <w:t>Cost - £</w:t>
      </w:r>
      <w:r w:rsidR="001865D5" w:rsidRPr="001865D5">
        <w:rPr>
          <w:rFonts w:ascii="Times New Roman" w:hAnsi="Times New Roman" w:cs="Times New Roman"/>
        </w:rPr>
        <w:t>9</w:t>
      </w:r>
    </w:p>
    <w:p w:rsidR="007A6C17" w:rsidRPr="00613EA7" w:rsidRDefault="007A6C17" w:rsidP="001012E3">
      <w:pPr>
        <w:pStyle w:val="NoSpacing"/>
        <w:rPr>
          <w:rFonts w:eastAsiaTheme="majorEastAsia"/>
        </w:rPr>
      </w:pPr>
    </w:p>
    <w:sectPr w:rsidR="007A6C17" w:rsidRPr="00613EA7" w:rsidSect="00B95A14">
      <w:headerReference w:type="default" r:id="rId10"/>
      <w:footerReference w:type="default" r:id="rId11"/>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574" w:rsidRDefault="00575574" w:rsidP="004666B7">
      <w:r>
        <w:separator/>
      </w:r>
    </w:p>
  </w:endnote>
  <w:endnote w:type="continuationSeparator" w:id="1">
    <w:p w:rsidR="00575574" w:rsidRDefault="00575574" w:rsidP="004666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3157"/>
      <w:docPartObj>
        <w:docPartGallery w:val="Page Numbers (Bottom of Page)"/>
        <w:docPartUnique/>
      </w:docPartObj>
    </w:sdtPr>
    <w:sdtContent>
      <w:p w:rsidR="00FB0B82" w:rsidRDefault="00B55137" w:rsidP="004666B7">
        <w:pPr>
          <w:pStyle w:val="Footer"/>
          <w:jc w:val="right"/>
        </w:pPr>
        <w:fldSimple w:instr=" PAGE   \* MERGEFORMAT ">
          <w:r w:rsidR="00025DE4">
            <w:rPr>
              <w:noProof/>
            </w:rPr>
            <w:t>6</w:t>
          </w:r>
        </w:fldSimple>
      </w:p>
    </w:sdtContent>
  </w:sdt>
  <w:p w:rsidR="00FB0B82" w:rsidRDefault="00FB0B82" w:rsidP="00466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574" w:rsidRDefault="00575574" w:rsidP="004666B7">
      <w:r>
        <w:separator/>
      </w:r>
    </w:p>
  </w:footnote>
  <w:footnote w:type="continuationSeparator" w:id="1">
    <w:p w:rsidR="00575574" w:rsidRDefault="00575574" w:rsidP="00466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C0" w:rsidRDefault="00A75BC0">
    <w:pPr>
      <w:pStyle w:val="Header"/>
    </w:pPr>
    <w:r>
      <w:rPr>
        <w:noProof/>
        <w:lang w:val="en-IN" w:eastAsia="en-IN"/>
      </w:rPr>
      <w:drawing>
        <wp:inline distT="0" distB="0" distL="0" distR="0">
          <wp:extent cx="900206" cy="336499"/>
          <wp:effectExtent l="19050" t="0" r="0" b="0"/>
          <wp:docPr id="2" name="Picture 1"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902368" cy="33730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3813"/>
    <w:multiLevelType w:val="multilevel"/>
    <w:tmpl w:val="D7FE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263B9"/>
    <w:multiLevelType w:val="hybridMultilevel"/>
    <w:tmpl w:val="0A6A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475E5"/>
    <w:multiLevelType w:val="multilevel"/>
    <w:tmpl w:val="602A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B1047"/>
    <w:multiLevelType w:val="hybridMultilevel"/>
    <w:tmpl w:val="558C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C7A63"/>
    <w:multiLevelType w:val="hybridMultilevel"/>
    <w:tmpl w:val="7A6605C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E59EE"/>
    <w:multiLevelType w:val="hybridMultilevel"/>
    <w:tmpl w:val="A4D4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92D6C"/>
    <w:multiLevelType w:val="hybridMultilevel"/>
    <w:tmpl w:val="AABC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0028B"/>
    <w:multiLevelType w:val="hybridMultilevel"/>
    <w:tmpl w:val="858234D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1F0193"/>
    <w:multiLevelType w:val="hybridMultilevel"/>
    <w:tmpl w:val="49D6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32F4D"/>
    <w:multiLevelType w:val="hybridMultilevel"/>
    <w:tmpl w:val="A8B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9B198C"/>
    <w:multiLevelType w:val="hybridMultilevel"/>
    <w:tmpl w:val="8F38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DA0DE9"/>
    <w:multiLevelType w:val="hybridMultilevel"/>
    <w:tmpl w:val="9C10B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2826AB"/>
    <w:multiLevelType w:val="hybridMultilevel"/>
    <w:tmpl w:val="490A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1010A2"/>
    <w:multiLevelType w:val="hybridMultilevel"/>
    <w:tmpl w:val="702C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F13EF3"/>
    <w:multiLevelType w:val="hybridMultilevel"/>
    <w:tmpl w:val="866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F40E9"/>
    <w:multiLevelType w:val="hybridMultilevel"/>
    <w:tmpl w:val="F448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11"/>
  </w:num>
  <w:num w:numId="6">
    <w:abstractNumId w:val="15"/>
  </w:num>
  <w:num w:numId="7">
    <w:abstractNumId w:val="12"/>
  </w:num>
  <w:num w:numId="8">
    <w:abstractNumId w:val="3"/>
  </w:num>
  <w:num w:numId="9">
    <w:abstractNumId w:val="13"/>
  </w:num>
  <w:num w:numId="10">
    <w:abstractNumId w:val="9"/>
  </w:num>
  <w:num w:numId="11">
    <w:abstractNumId w:val="1"/>
  </w:num>
  <w:num w:numId="12">
    <w:abstractNumId w:val="5"/>
  </w:num>
  <w:num w:numId="13">
    <w:abstractNumId w:val="14"/>
  </w:num>
  <w:num w:numId="14">
    <w:abstractNumId w:val="4"/>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3F5F28"/>
    <w:rsid w:val="00025DE4"/>
    <w:rsid w:val="00040521"/>
    <w:rsid w:val="0005304C"/>
    <w:rsid w:val="00073530"/>
    <w:rsid w:val="00086936"/>
    <w:rsid w:val="00086C86"/>
    <w:rsid w:val="00087B80"/>
    <w:rsid w:val="00090325"/>
    <w:rsid w:val="00091B45"/>
    <w:rsid w:val="000C6673"/>
    <w:rsid w:val="000D45F6"/>
    <w:rsid w:val="000E197C"/>
    <w:rsid w:val="001012E3"/>
    <w:rsid w:val="00117648"/>
    <w:rsid w:val="00125A00"/>
    <w:rsid w:val="0015066D"/>
    <w:rsid w:val="00152818"/>
    <w:rsid w:val="00153FF7"/>
    <w:rsid w:val="0015791C"/>
    <w:rsid w:val="00180512"/>
    <w:rsid w:val="00181580"/>
    <w:rsid w:val="001865D5"/>
    <w:rsid w:val="001A71FE"/>
    <w:rsid w:val="001B248D"/>
    <w:rsid w:val="001B4F31"/>
    <w:rsid w:val="001E0056"/>
    <w:rsid w:val="002006E7"/>
    <w:rsid w:val="00213455"/>
    <w:rsid w:val="0023748E"/>
    <w:rsid w:val="00245F03"/>
    <w:rsid w:val="002522B3"/>
    <w:rsid w:val="00281E90"/>
    <w:rsid w:val="00283799"/>
    <w:rsid w:val="002940B2"/>
    <w:rsid w:val="002956B0"/>
    <w:rsid w:val="002C7B60"/>
    <w:rsid w:val="002D5F3E"/>
    <w:rsid w:val="002E7020"/>
    <w:rsid w:val="003356CD"/>
    <w:rsid w:val="00352615"/>
    <w:rsid w:val="0036655F"/>
    <w:rsid w:val="0036735D"/>
    <w:rsid w:val="00383EC0"/>
    <w:rsid w:val="00397E66"/>
    <w:rsid w:val="003A0624"/>
    <w:rsid w:val="003A5D60"/>
    <w:rsid w:val="003B48DC"/>
    <w:rsid w:val="003F5F28"/>
    <w:rsid w:val="0041079D"/>
    <w:rsid w:val="00414688"/>
    <w:rsid w:val="0042186B"/>
    <w:rsid w:val="00423D37"/>
    <w:rsid w:val="00442489"/>
    <w:rsid w:val="0045686B"/>
    <w:rsid w:val="00462B62"/>
    <w:rsid w:val="004644A9"/>
    <w:rsid w:val="004666B7"/>
    <w:rsid w:val="00476D0F"/>
    <w:rsid w:val="0048219E"/>
    <w:rsid w:val="0049353C"/>
    <w:rsid w:val="004B1F42"/>
    <w:rsid w:val="004C0530"/>
    <w:rsid w:val="004D48DE"/>
    <w:rsid w:val="004E7BD9"/>
    <w:rsid w:val="00525AFC"/>
    <w:rsid w:val="005459F8"/>
    <w:rsid w:val="00553E03"/>
    <w:rsid w:val="005573C8"/>
    <w:rsid w:val="00564A0C"/>
    <w:rsid w:val="00567CF7"/>
    <w:rsid w:val="00572634"/>
    <w:rsid w:val="00575574"/>
    <w:rsid w:val="005957F1"/>
    <w:rsid w:val="005A2A7E"/>
    <w:rsid w:val="005E0D7D"/>
    <w:rsid w:val="005E32C8"/>
    <w:rsid w:val="005F6A0D"/>
    <w:rsid w:val="006041C5"/>
    <w:rsid w:val="00610DF4"/>
    <w:rsid w:val="00610EDC"/>
    <w:rsid w:val="00612026"/>
    <w:rsid w:val="00613EA7"/>
    <w:rsid w:val="00622ADA"/>
    <w:rsid w:val="00625B9D"/>
    <w:rsid w:val="006760A1"/>
    <w:rsid w:val="00681930"/>
    <w:rsid w:val="0069114C"/>
    <w:rsid w:val="006A0F3E"/>
    <w:rsid w:val="006A2305"/>
    <w:rsid w:val="006A28B7"/>
    <w:rsid w:val="006A3506"/>
    <w:rsid w:val="006A47EA"/>
    <w:rsid w:val="006C4A72"/>
    <w:rsid w:val="006D2575"/>
    <w:rsid w:val="0070435B"/>
    <w:rsid w:val="0071218B"/>
    <w:rsid w:val="00721C30"/>
    <w:rsid w:val="00727307"/>
    <w:rsid w:val="007519CA"/>
    <w:rsid w:val="007540EE"/>
    <w:rsid w:val="007661F3"/>
    <w:rsid w:val="007A5133"/>
    <w:rsid w:val="007A6C17"/>
    <w:rsid w:val="007B6D3D"/>
    <w:rsid w:val="007C1473"/>
    <w:rsid w:val="007E5989"/>
    <w:rsid w:val="007F31E4"/>
    <w:rsid w:val="00803D11"/>
    <w:rsid w:val="00826163"/>
    <w:rsid w:val="00826FDA"/>
    <w:rsid w:val="008568FB"/>
    <w:rsid w:val="008755E4"/>
    <w:rsid w:val="00882399"/>
    <w:rsid w:val="008B1966"/>
    <w:rsid w:val="008B5E8A"/>
    <w:rsid w:val="008C18D9"/>
    <w:rsid w:val="008C656C"/>
    <w:rsid w:val="008C6596"/>
    <w:rsid w:val="008F3599"/>
    <w:rsid w:val="008F5C0D"/>
    <w:rsid w:val="008F5FD1"/>
    <w:rsid w:val="00914FAD"/>
    <w:rsid w:val="00947663"/>
    <w:rsid w:val="00952794"/>
    <w:rsid w:val="009702E6"/>
    <w:rsid w:val="0097422A"/>
    <w:rsid w:val="009829C4"/>
    <w:rsid w:val="00997535"/>
    <w:rsid w:val="009C2E41"/>
    <w:rsid w:val="009D1C7E"/>
    <w:rsid w:val="009F0E21"/>
    <w:rsid w:val="009F6F4B"/>
    <w:rsid w:val="009F7294"/>
    <w:rsid w:val="00A04F7B"/>
    <w:rsid w:val="00A134A0"/>
    <w:rsid w:val="00A14265"/>
    <w:rsid w:val="00A42E92"/>
    <w:rsid w:val="00A44A58"/>
    <w:rsid w:val="00A63B57"/>
    <w:rsid w:val="00A70F67"/>
    <w:rsid w:val="00A75BC0"/>
    <w:rsid w:val="00A821E7"/>
    <w:rsid w:val="00AA2252"/>
    <w:rsid w:val="00AA7396"/>
    <w:rsid w:val="00AC5E48"/>
    <w:rsid w:val="00AD3622"/>
    <w:rsid w:val="00AF024B"/>
    <w:rsid w:val="00AF2D55"/>
    <w:rsid w:val="00B063EA"/>
    <w:rsid w:val="00B10B1B"/>
    <w:rsid w:val="00B121A4"/>
    <w:rsid w:val="00B402CA"/>
    <w:rsid w:val="00B403AA"/>
    <w:rsid w:val="00B546A8"/>
    <w:rsid w:val="00B55137"/>
    <w:rsid w:val="00B62B7D"/>
    <w:rsid w:val="00B7375F"/>
    <w:rsid w:val="00B94761"/>
    <w:rsid w:val="00B95A14"/>
    <w:rsid w:val="00BD38F2"/>
    <w:rsid w:val="00BE1CC8"/>
    <w:rsid w:val="00BF2810"/>
    <w:rsid w:val="00BF662E"/>
    <w:rsid w:val="00C14907"/>
    <w:rsid w:val="00C25AB1"/>
    <w:rsid w:val="00C56D5A"/>
    <w:rsid w:val="00CA6415"/>
    <w:rsid w:val="00CC2B89"/>
    <w:rsid w:val="00CF61EB"/>
    <w:rsid w:val="00D148DE"/>
    <w:rsid w:val="00D23462"/>
    <w:rsid w:val="00D354DE"/>
    <w:rsid w:val="00D40143"/>
    <w:rsid w:val="00D4470B"/>
    <w:rsid w:val="00D65CB8"/>
    <w:rsid w:val="00D75849"/>
    <w:rsid w:val="00D86CED"/>
    <w:rsid w:val="00DA241A"/>
    <w:rsid w:val="00DA74B8"/>
    <w:rsid w:val="00DC67E4"/>
    <w:rsid w:val="00DD0780"/>
    <w:rsid w:val="00DD6B69"/>
    <w:rsid w:val="00DE3F0B"/>
    <w:rsid w:val="00DE4739"/>
    <w:rsid w:val="00E11573"/>
    <w:rsid w:val="00E634F1"/>
    <w:rsid w:val="00E71AD3"/>
    <w:rsid w:val="00E84894"/>
    <w:rsid w:val="00E965C1"/>
    <w:rsid w:val="00E96838"/>
    <w:rsid w:val="00EA78FF"/>
    <w:rsid w:val="00EE5EF4"/>
    <w:rsid w:val="00EE6D46"/>
    <w:rsid w:val="00F00323"/>
    <w:rsid w:val="00F04A62"/>
    <w:rsid w:val="00F1152E"/>
    <w:rsid w:val="00F32BFA"/>
    <w:rsid w:val="00F32F2A"/>
    <w:rsid w:val="00F33186"/>
    <w:rsid w:val="00F347EC"/>
    <w:rsid w:val="00F37B09"/>
    <w:rsid w:val="00F54EC4"/>
    <w:rsid w:val="00F77312"/>
    <w:rsid w:val="00F92A4E"/>
    <w:rsid w:val="00FB0B82"/>
    <w:rsid w:val="00FB152B"/>
    <w:rsid w:val="00FB3BE8"/>
    <w:rsid w:val="00FC028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7D"/>
    <w:pPr>
      <w:widowControl w:val="0"/>
      <w:autoSpaceDE w:val="0"/>
      <w:autoSpaceDN w:val="0"/>
      <w:adjustRightInd w:val="0"/>
      <w:spacing w:after="120" w:line="360" w:lineRule="auto"/>
      <w:jc w:val="both"/>
    </w:pPr>
    <w:rPr>
      <w:rFonts w:ascii="Arial" w:eastAsia="Times New Roman" w:hAnsi="Arial" w:cs="Arial"/>
      <w:sz w:val="24"/>
      <w:szCs w:val="24"/>
      <w:lang w:val="en-GB"/>
    </w:rPr>
  </w:style>
  <w:style w:type="paragraph" w:styleId="Heading1">
    <w:name w:val="heading 1"/>
    <w:basedOn w:val="Normal"/>
    <w:next w:val="Normal"/>
    <w:link w:val="Heading1Char"/>
    <w:uiPriority w:val="9"/>
    <w:qFormat/>
    <w:rsid w:val="005E0D7D"/>
    <w:pPr>
      <w:keepNext/>
      <w:keepLines/>
      <w:spacing w:before="24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qFormat/>
    <w:rsid w:val="003B48DC"/>
    <w:pPr>
      <w:widowControl/>
      <w:autoSpaceDE/>
      <w:autoSpaceDN/>
      <w:adjustRightInd/>
      <w:spacing w:before="240"/>
      <w:jc w:val="left"/>
      <w:outlineLvl w:val="1"/>
    </w:pPr>
    <w:rPr>
      <w:b/>
      <w:bCs/>
      <w:sz w:val="28"/>
      <w:szCs w:val="36"/>
      <w:lang w:val="en-US"/>
    </w:rPr>
  </w:style>
  <w:style w:type="paragraph" w:styleId="Heading3">
    <w:name w:val="heading 3"/>
    <w:basedOn w:val="Normal"/>
    <w:next w:val="Normal"/>
    <w:link w:val="Heading3Char"/>
    <w:uiPriority w:val="9"/>
    <w:unhideWhenUsed/>
    <w:qFormat/>
    <w:rsid w:val="008755E4"/>
    <w:pPr>
      <w:spacing w:before="120"/>
      <w:outlineLvl w:val="2"/>
    </w:pPr>
    <w:rPr>
      <w:b/>
    </w:rPr>
  </w:style>
  <w:style w:type="paragraph" w:styleId="Heading4">
    <w:name w:val="heading 4"/>
    <w:basedOn w:val="Normal"/>
    <w:next w:val="Normal"/>
    <w:link w:val="Heading4Char"/>
    <w:uiPriority w:val="9"/>
    <w:unhideWhenUsed/>
    <w:qFormat/>
    <w:rsid w:val="00C149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F28"/>
    <w:rPr>
      <w:color w:val="0000FF" w:themeColor="hyperlink"/>
      <w:u w:val="single"/>
    </w:rPr>
  </w:style>
  <w:style w:type="table" w:styleId="TableGrid">
    <w:name w:val="Table Grid"/>
    <w:basedOn w:val="TableNormal"/>
    <w:uiPriority w:val="59"/>
    <w:rsid w:val="003F5F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C2E41"/>
    <w:pPr>
      <w:ind w:left="720"/>
      <w:contextualSpacing/>
    </w:pPr>
  </w:style>
  <w:style w:type="character" w:customStyle="1" w:styleId="apple-style-span">
    <w:name w:val="apple-style-span"/>
    <w:basedOn w:val="DefaultParagraphFont"/>
    <w:rsid w:val="006C4A72"/>
  </w:style>
  <w:style w:type="character" w:customStyle="1" w:styleId="Heading2Char">
    <w:name w:val="Heading 2 Char"/>
    <w:basedOn w:val="DefaultParagraphFont"/>
    <w:link w:val="Heading2"/>
    <w:uiPriority w:val="9"/>
    <w:rsid w:val="003B48DC"/>
    <w:rPr>
      <w:rFonts w:ascii="Arial" w:eastAsia="Times New Roman" w:hAnsi="Arial" w:cs="Arial"/>
      <w:b/>
      <w:bCs/>
      <w:sz w:val="28"/>
      <w:szCs w:val="36"/>
    </w:rPr>
  </w:style>
  <w:style w:type="paragraph" w:styleId="NormalWeb">
    <w:name w:val="Normal (Web)"/>
    <w:basedOn w:val="Normal"/>
    <w:uiPriority w:val="99"/>
    <w:semiHidden/>
    <w:unhideWhenUsed/>
    <w:rsid w:val="00A821E7"/>
    <w:pPr>
      <w:widowControl/>
      <w:autoSpaceDE/>
      <w:autoSpaceDN/>
      <w:adjustRightInd/>
      <w:spacing w:before="100" w:beforeAutospacing="1" w:after="100" w:afterAutospacing="1"/>
    </w:pPr>
    <w:rPr>
      <w:lang w:val="en-US"/>
    </w:rPr>
  </w:style>
  <w:style w:type="character" w:customStyle="1" w:styleId="apple-converted-space">
    <w:name w:val="apple-converted-space"/>
    <w:basedOn w:val="DefaultParagraphFont"/>
    <w:rsid w:val="00A821E7"/>
  </w:style>
  <w:style w:type="paragraph" w:customStyle="1" w:styleId="yiv1498822052msonormal">
    <w:name w:val="yiv1498822052msonormal"/>
    <w:basedOn w:val="Normal"/>
    <w:rsid w:val="007A5133"/>
    <w:pPr>
      <w:widowControl/>
      <w:autoSpaceDE/>
      <w:autoSpaceDN/>
      <w:adjustRightInd/>
      <w:spacing w:before="100" w:beforeAutospacing="1" w:after="100" w:afterAutospacing="1"/>
    </w:pPr>
    <w:rPr>
      <w:lang w:val="en-US"/>
    </w:rPr>
  </w:style>
  <w:style w:type="character" w:customStyle="1" w:styleId="yiv1498822052apple-style-span">
    <w:name w:val="yiv1498822052apple-style-span"/>
    <w:basedOn w:val="DefaultParagraphFont"/>
    <w:rsid w:val="007A5133"/>
  </w:style>
  <w:style w:type="paragraph" w:styleId="DocumentMap">
    <w:name w:val="Document Map"/>
    <w:basedOn w:val="Normal"/>
    <w:link w:val="DocumentMapChar"/>
    <w:uiPriority w:val="99"/>
    <w:semiHidden/>
    <w:unhideWhenUsed/>
    <w:rsid w:val="008755E4"/>
    <w:rPr>
      <w:rFonts w:ascii="Tahoma" w:hAnsi="Tahoma" w:cs="Tahoma"/>
      <w:sz w:val="16"/>
      <w:szCs w:val="16"/>
    </w:rPr>
  </w:style>
  <w:style w:type="character" w:customStyle="1" w:styleId="DocumentMapChar">
    <w:name w:val="Document Map Char"/>
    <w:basedOn w:val="DefaultParagraphFont"/>
    <w:link w:val="DocumentMap"/>
    <w:uiPriority w:val="99"/>
    <w:semiHidden/>
    <w:rsid w:val="008755E4"/>
    <w:rPr>
      <w:rFonts w:ascii="Tahoma" w:eastAsia="Times New Roman" w:hAnsi="Tahoma" w:cs="Tahoma"/>
      <w:sz w:val="16"/>
      <w:szCs w:val="16"/>
      <w:lang w:val="en-GB"/>
    </w:rPr>
  </w:style>
  <w:style w:type="paragraph" w:styleId="IntenseQuote">
    <w:name w:val="Intense Quote"/>
    <w:basedOn w:val="Normal"/>
    <w:next w:val="Normal"/>
    <w:link w:val="IntenseQuoteChar"/>
    <w:uiPriority w:val="30"/>
    <w:qFormat/>
    <w:rsid w:val="008755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55E4"/>
    <w:rPr>
      <w:rFonts w:ascii="Times New Roman" w:eastAsia="Times New Roman" w:hAnsi="Times New Roman" w:cs="Times New Roman"/>
      <w:b/>
      <w:bCs/>
      <w:i/>
      <w:iCs/>
      <w:color w:val="4F81BD" w:themeColor="accent1"/>
      <w:sz w:val="20"/>
      <w:szCs w:val="20"/>
      <w:lang w:val="en-GB"/>
    </w:rPr>
  </w:style>
  <w:style w:type="paragraph" w:styleId="Quote">
    <w:name w:val="Quote"/>
    <w:basedOn w:val="Normal"/>
    <w:next w:val="Normal"/>
    <w:link w:val="QuoteChar"/>
    <w:uiPriority w:val="29"/>
    <w:qFormat/>
    <w:rsid w:val="008755E4"/>
    <w:rPr>
      <w:i/>
      <w:iCs/>
      <w:color w:val="000000" w:themeColor="text1"/>
    </w:rPr>
  </w:style>
  <w:style w:type="character" w:customStyle="1" w:styleId="QuoteChar">
    <w:name w:val="Quote Char"/>
    <w:basedOn w:val="DefaultParagraphFont"/>
    <w:link w:val="Quote"/>
    <w:uiPriority w:val="29"/>
    <w:rsid w:val="008755E4"/>
    <w:rPr>
      <w:rFonts w:ascii="Times New Roman" w:eastAsia="Times New Roman" w:hAnsi="Times New Roman" w:cs="Times New Roman"/>
      <w:i/>
      <w:iCs/>
      <w:color w:val="000000" w:themeColor="text1"/>
      <w:sz w:val="20"/>
      <w:szCs w:val="20"/>
      <w:lang w:val="en-GB"/>
    </w:rPr>
  </w:style>
  <w:style w:type="character" w:styleId="Strong">
    <w:name w:val="Strong"/>
    <w:basedOn w:val="DefaultParagraphFont"/>
    <w:uiPriority w:val="22"/>
    <w:qFormat/>
    <w:rsid w:val="008755E4"/>
    <w:rPr>
      <w:b/>
      <w:bCs/>
    </w:rPr>
  </w:style>
  <w:style w:type="character" w:styleId="IntenseEmphasis">
    <w:name w:val="Intense Emphasis"/>
    <w:basedOn w:val="DefaultParagraphFont"/>
    <w:uiPriority w:val="21"/>
    <w:qFormat/>
    <w:rsid w:val="008755E4"/>
    <w:rPr>
      <w:b/>
      <w:bCs/>
      <w:i/>
      <w:iCs/>
      <w:color w:val="4F81BD" w:themeColor="accent1"/>
    </w:rPr>
  </w:style>
  <w:style w:type="character" w:styleId="Emphasis">
    <w:name w:val="Emphasis"/>
    <w:basedOn w:val="DefaultParagraphFont"/>
    <w:uiPriority w:val="20"/>
    <w:qFormat/>
    <w:rsid w:val="008755E4"/>
    <w:rPr>
      <w:i/>
      <w:iCs/>
    </w:rPr>
  </w:style>
  <w:style w:type="character" w:styleId="SubtleEmphasis">
    <w:name w:val="Subtle Emphasis"/>
    <w:basedOn w:val="DefaultParagraphFont"/>
    <w:uiPriority w:val="19"/>
    <w:qFormat/>
    <w:rsid w:val="008755E4"/>
    <w:rPr>
      <w:i/>
      <w:iCs/>
      <w:color w:val="808080" w:themeColor="text1" w:themeTint="7F"/>
    </w:rPr>
  </w:style>
  <w:style w:type="paragraph" w:styleId="Subtitle">
    <w:name w:val="Subtitle"/>
    <w:basedOn w:val="Normal"/>
    <w:next w:val="Normal"/>
    <w:link w:val="SubtitleChar"/>
    <w:uiPriority w:val="11"/>
    <w:qFormat/>
    <w:rsid w:val="008755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55E4"/>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8755E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8755E4"/>
    <w:rPr>
      <w:rFonts w:asciiTheme="majorHAnsi" w:eastAsiaTheme="majorEastAsia" w:hAnsiTheme="majorHAnsi" w:cstheme="majorBidi"/>
      <w:color w:val="17365D" w:themeColor="text2" w:themeShade="BF"/>
      <w:spacing w:val="5"/>
      <w:kern w:val="28"/>
      <w:sz w:val="40"/>
      <w:szCs w:val="52"/>
      <w:lang w:val="en-GB"/>
    </w:rPr>
  </w:style>
  <w:style w:type="character" w:customStyle="1" w:styleId="Heading1Char">
    <w:name w:val="Heading 1 Char"/>
    <w:basedOn w:val="DefaultParagraphFont"/>
    <w:link w:val="Heading1"/>
    <w:uiPriority w:val="9"/>
    <w:rsid w:val="005E0D7D"/>
    <w:rPr>
      <w:rFonts w:asciiTheme="majorHAnsi" w:eastAsiaTheme="majorEastAsia" w:hAnsiTheme="majorHAnsi" w:cstheme="majorBidi"/>
      <w:b/>
      <w:bCs/>
      <w:color w:val="365F91" w:themeColor="accent1" w:themeShade="BF"/>
      <w:sz w:val="32"/>
      <w:szCs w:val="28"/>
      <w:lang w:val="en-GB"/>
    </w:rPr>
  </w:style>
  <w:style w:type="character" w:customStyle="1" w:styleId="Heading3Char">
    <w:name w:val="Heading 3 Char"/>
    <w:basedOn w:val="DefaultParagraphFont"/>
    <w:link w:val="Heading3"/>
    <w:uiPriority w:val="9"/>
    <w:rsid w:val="008755E4"/>
    <w:rPr>
      <w:rFonts w:ascii="Arial" w:eastAsia="Times New Roman" w:hAnsi="Arial" w:cs="Arial"/>
      <w:b/>
      <w:sz w:val="24"/>
      <w:szCs w:val="24"/>
      <w:lang w:val="en-GB"/>
    </w:rPr>
  </w:style>
  <w:style w:type="paragraph" w:styleId="TOC1">
    <w:name w:val="toc 1"/>
    <w:basedOn w:val="Normal"/>
    <w:next w:val="Normal"/>
    <w:autoRedefine/>
    <w:uiPriority w:val="39"/>
    <w:unhideWhenUsed/>
    <w:rsid w:val="008755E4"/>
    <w:pPr>
      <w:spacing w:after="100"/>
    </w:pPr>
  </w:style>
  <w:style w:type="paragraph" w:styleId="NoSpacing">
    <w:name w:val="No Spacing"/>
    <w:uiPriority w:val="1"/>
    <w:qFormat/>
    <w:rsid w:val="00AA2252"/>
    <w:pPr>
      <w:widowControl w:val="0"/>
      <w:autoSpaceDE w:val="0"/>
      <w:autoSpaceDN w:val="0"/>
      <w:adjustRightInd w:val="0"/>
    </w:pPr>
    <w:rPr>
      <w:rFonts w:ascii="Times New Roman" w:eastAsia="Times New Roman" w:hAnsi="Times New Roman" w:cs="Times New Roman"/>
      <w:sz w:val="20"/>
      <w:szCs w:val="20"/>
      <w:lang w:val="en-GB"/>
    </w:rPr>
  </w:style>
  <w:style w:type="paragraph" w:styleId="Header">
    <w:name w:val="header"/>
    <w:basedOn w:val="Normal"/>
    <w:link w:val="HeaderChar"/>
    <w:uiPriority w:val="99"/>
    <w:semiHidden/>
    <w:unhideWhenUsed/>
    <w:rsid w:val="00727307"/>
    <w:pPr>
      <w:tabs>
        <w:tab w:val="center" w:pos="4680"/>
        <w:tab w:val="right" w:pos="9360"/>
      </w:tabs>
    </w:pPr>
  </w:style>
  <w:style w:type="character" w:customStyle="1" w:styleId="HeaderChar">
    <w:name w:val="Header Char"/>
    <w:basedOn w:val="DefaultParagraphFont"/>
    <w:link w:val="Header"/>
    <w:uiPriority w:val="99"/>
    <w:semiHidden/>
    <w:rsid w:val="0072730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27307"/>
    <w:pPr>
      <w:tabs>
        <w:tab w:val="center" w:pos="4680"/>
        <w:tab w:val="right" w:pos="9360"/>
      </w:tabs>
    </w:pPr>
  </w:style>
  <w:style w:type="character" w:customStyle="1" w:styleId="FooterChar">
    <w:name w:val="Footer Char"/>
    <w:basedOn w:val="DefaultParagraphFont"/>
    <w:link w:val="Footer"/>
    <w:uiPriority w:val="99"/>
    <w:rsid w:val="00727307"/>
    <w:rPr>
      <w:rFonts w:ascii="Times New Roman" w:eastAsia="Times New Roman" w:hAnsi="Times New Roman" w:cs="Times New Roman"/>
      <w:sz w:val="20"/>
      <w:szCs w:val="20"/>
      <w:lang w:val="en-GB"/>
    </w:rPr>
  </w:style>
  <w:style w:type="table" w:styleId="ColorfulList-Accent6">
    <w:name w:val="Colorful List Accent 6"/>
    <w:basedOn w:val="TableNormal"/>
    <w:uiPriority w:val="72"/>
    <w:rsid w:val="00D148D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148D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C14907"/>
    <w:rPr>
      <w:rFonts w:asciiTheme="majorHAnsi" w:eastAsiaTheme="majorEastAsia" w:hAnsiTheme="majorHAnsi" w:cstheme="majorBidi"/>
      <w:b/>
      <w:bCs/>
      <w:i/>
      <w:iCs/>
      <w:color w:val="4F81BD" w:themeColor="accent1"/>
      <w:sz w:val="24"/>
      <w:szCs w:val="24"/>
      <w:lang w:val="en-GB"/>
    </w:rPr>
  </w:style>
  <w:style w:type="table" w:styleId="ColorfulList-Accent1">
    <w:name w:val="Colorful List Accent 1"/>
    <w:basedOn w:val="TableNormal"/>
    <w:uiPriority w:val="72"/>
    <w:rsid w:val="00C1490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abletext">
    <w:name w:val="Table text"/>
    <w:basedOn w:val="Normal"/>
    <w:qFormat/>
    <w:rsid w:val="002D5F3E"/>
    <w:pPr>
      <w:spacing w:before="60" w:after="60" w:line="240" w:lineRule="auto"/>
      <w:jc w:val="left"/>
    </w:pPr>
    <w:rPr>
      <w:rFonts w:asciiTheme="minorHAnsi" w:hAnsiTheme="minorHAnsi"/>
      <w:bCs/>
      <w:sz w:val="20"/>
      <w:szCs w:val="22"/>
    </w:rPr>
  </w:style>
  <w:style w:type="paragraph" w:styleId="TOC2">
    <w:name w:val="toc 2"/>
    <w:basedOn w:val="Normal"/>
    <w:next w:val="Normal"/>
    <w:autoRedefine/>
    <w:uiPriority w:val="39"/>
    <w:unhideWhenUsed/>
    <w:rsid w:val="00947663"/>
    <w:pPr>
      <w:spacing w:after="100"/>
      <w:ind w:left="240"/>
    </w:pPr>
  </w:style>
  <w:style w:type="table" w:customStyle="1" w:styleId="MediumShading21">
    <w:name w:val="Medium Shading 21"/>
    <w:basedOn w:val="TableNormal"/>
    <w:uiPriority w:val="64"/>
    <w:rsid w:val="002D5F3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1">
    <w:name w:val="Light Grid - Accent 11"/>
    <w:basedOn w:val="TableNormal"/>
    <w:uiPriority w:val="62"/>
    <w:rsid w:val="002D5F3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2D5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3E"/>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93545049">
      <w:bodyDiv w:val="1"/>
      <w:marLeft w:val="0"/>
      <w:marRight w:val="0"/>
      <w:marTop w:val="0"/>
      <w:marBottom w:val="0"/>
      <w:divBdr>
        <w:top w:val="none" w:sz="0" w:space="0" w:color="auto"/>
        <w:left w:val="none" w:sz="0" w:space="0" w:color="auto"/>
        <w:bottom w:val="none" w:sz="0" w:space="0" w:color="auto"/>
        <w:right w:val="none" w:sz="0" w:space="0" w:color="auto"/>
      </w:divBdr>
      <w:divsChild>
        <w:div w:id="277875510">
          <w:marLeft w:val="0"/>
          <w:marRight w:val="0"/>
          <w:marTop w:val="0"/>
          <w:marBottom w:val="0"/>
          <w:divBdr>
            <w:top w:val="none" w:sz="0" w:space="0" w:color="auto"/>
            <w:left w:val="none" w:sz="0" w:space="0" w:color="auto"/>
            <w:bottom w:val="none" w:sz="0" w:space="0" w:color="auto"/>
            <w:right w:val="none" w:sz="0" w:space="0" w:color="auto"/>
          </w:divBdr>
          <w:divsChild>
            <w:div w:id="1107115700">
              <w:marLeft w:val="0"/>
              <w:marRight w:val="0"/>
              <w:marTop w:val="0"/>
              <w:marBottom w:val="0"/>
              <w:divBdr>
                <w:top w:val="none" w:sz="0" w:space="0" w:color="auto"/>
                <w:left w:val="none" w:sz="0" w:space="0" w:color="auto"/>
                <w:bottom w:val="none" w:sz="0" w:space="0" w:color="auto"/>
                <w:right w:val="none" w:sz="0" w:space="0" w:color="auto"/>
              </w:divBdr>
            </w:div>
          </w:divsChild>
        </w:div>
        <w:div w:id="1134061979">
          <w:marLeft w:val="0"/>
          <w:marRight w:val="0"/>
          <w:marTop w:val="0"/>
          <w:marBottom w:val="0"/>
          <w:divBdr>
            <w:top w:val="none" w:sz="0" w:space="0" w:color="auto"/>
            <w:left w:val="none" w:sz="0" w:space="0" w:color="auto"/>
            <w:bottom w:val="none" w:sz="0" w:space="0" w:color="auto"/>
            <w:right w:val="none" w:sz="0" w:space="0" w:color="auto"/>
          </w:divBdr>
          <w:divsChild>
            <w:div w:id="17328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0947">
      <w:bodyDiv w:val="1"/>
      <w:marLeft w:val="0"/>
      <w:marRight w:val="0"/>
      <w:marTop w:val="0"/>
      <w:marBottom w:val="0"/>
      <w:divBdr>
        <w:top w:val="none" w:sz="0" w:space="0" w:color="auto"/>
        <w:left w:val="none" w:sz="0" w:space="0" w:color="auto"/>
        <w:bottom w:val="none" w:sz="0" w:space="0" w:color="auto"/>
        <w:right w:val="none" w:sz="0" w:space="0" w:color="auto"/>
      </w:divBdr>
    </w:div>
    <w:div w:id="733627892">
      <w:bodyDiv w:val="1"/>
      <w:marLeft w:val="0"/>
      <w:marRight w:val="0"/>
      <w:marTop w:val="0"/>
      <w:marBottom w:val="0"/>
      <w:divBdr>
        <w:top w:val="none" w:sz="0" w:space="0" w:color="auto"/>
        <w:left w:val="none" w:sz="0" w:space="0" w:color="auto"/>
        <w:bottom w:val="none" w:sz="0" w:space="0" w:color="auto"/>
        <w:right w:val="none" w:sz="0" w:space="0" w:color="auto"/>
      </w:divBdr>
    </w:div>
    <w:div w:id="1233587514">
      <w:bodyDiv w:val="1"/>
      <w:marLeft w:val="0"/>
      <w:marRight w:val="0"/>
      <w:marTop w:val="0"/>
      <w:marBottom w:val="0"/>
      <w:divBdr>
        <w:top w:val="none" w:sz="0" w:space="0" w:color="auto"/>
        <w:left w:val="none" w:sz="0" w:space="0" w:color="auto"/>
        <w:bottom w:val="none" w:sz="0" w:space="0" w:color="auto"/>
        <w:right w:val="none" w:sz="0" w:space="0" w:color="auto"/>
      </w:divBdr>
    </w:div>
    <w:div w:id="1616250521">
      <w:bodyDiv w:val="1"/>
      <w:marLeft w:val="0"/>
      <w:marRight w:val="0"/>
      <w:marTop w:val="0"/>
      <w:marBottom w:val="0"/>
      <w:divBdr>
        <w:top w:val="none" w:sz="0" w:space="0" w:color="auto"/>
        <w:left w:val="none" w:sz="0" w:space="0" w:color="auto"/>
        <w:bottom w:val="none" w:sz="0" w:space="0" w:color="auto"/>
        <w:right w:val="none" w:sz="0" w:space="0" w:color="auto"/>
      </w:divBdr>
    </w:div>
    <w:div w:id="20952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mpleassignment.com/pay-now.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2CF9-C55A-45C1-B8B3-E633F818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T2</cp:lastModifiedBy>
  <cp:revision>34</cp:revision>
  <dcterms:created xsi:type="dcterms:W3CDTF">2012-03-27T19:10:00Z</dcterms:created>
  <dcterms:modified xsi:type="dcterms:W3CDTF">2014-01-21T11:11:00Z</dcterms:modified>
</cp:coreProperties>
</file>